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6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浙江师</w:t>
      </w:r>
      <w:bookmarkStart w:id="63" w:name="_GoBack"/>
      <w:bookmarkEnd w:id="63"/>
      <w:r>
        <w:rPr>
          <w:rFonts w:hint="eastAsia" w:ascii="方正小标宋简体" w:hAnsi="方正小标宋简体" w:eastAsia="方正小标宋简体" w:cs="方正小标宋简体"/>
          <w:sz w:val="44"/>
          <w:szCs w:val="44"/>
          <w:lang w:val="en-US" w:eastAsia="zh-CN"/>
        </w:rPr>
        <w:t>范大学引进人才科研业绩计分办法</w:t>
      </w:r>
    </w:p>
    <w:p>
      <w:pPr>
        <w:adjustRightInd w:val="0"/>
        <w:snapToGrid w:val="0"/>
        <w:spacing w:line="560" w:lineRule="exact"/>
        <w:ind w:firstLine="616" w:firstLineChars="200"/>
        <w:jc w:val="left"/>
        <w:rPr>
          <w:rFonts w:hint="eastAsia" w:ascii="黑体" w:hAnsi="黑体" w:eastAsia="黑体" w:cs="黑体"/>
          <w:bCs/>
          <w:szCs w:val="32"/>
        </w:rPr>
      </w:pPr>
      <w:r>
        <w:rPr>
          <w:rFonts w:hint="eastAsia" w:ascii="黑体" w:hAnsi="黑体" w:eastAsia="黑体" w:cs="黑体"/>
          <w:bCs/>
          <w:szCs w:val="32"/>
        </w:rPr>
        <w:t>一</w:t>
      </w:r>
      <w:r>
        <w:rPr>
          <w:rFonts w:hint="eastAsia" w:ascii="黑体" w:hAnsi="黑体" w:eastAsia="黑体" w:cs="黑体"/>
          <w:bCs/>
          <w:szCs w:val="32"/>
          <w:lang w:eastAsia="zh-CN"/>
        </w:rPr>
        <w:t>、</w:t>
      </w:r>
      <w:r>
        <w:rPr>
          <w:rFonts w:hint="eastAsia" w:ascii="黑体" w:hAnsi="黑体" w:eastAsia="黑体" w:cs="黑体"/>
          <w:bCs/>
          <w:szCs w:val="32"/>
        </w:rPr>
        <w:t>科研项目（M</w:t>
      </w:r>
      <w:r>
        <w:rPr>
          <w:rFonts w:hint="eastAsia" w:ascii="黑体" w:hAnsi="黑体" w:eastAsia="黑体" w:cs="黑体"/>
          <w:bCs/>
          <w:szCs w:val="32"/>
          <w:vertAlign w:val="subscript"/>
        </w:rPr>
        <w:t>1</w:t>
      </w:r>
      <w:r>
        <w:rPr>
          <w:rFonts w:hint="eastAsia" w:ascii="黑体" w:hAnsi="黑体" w:eastAsia="黑体" w:cs="黑体"/>
          <w:bCs/>
          <w:szCs w:val="32"/>
        </w:rPr>
        <w:t>）</w:t>
      </w:r>
    </w:p>
    <w:p>
      <w:pPr>
        <w:adjustRightInd w:val="0"/>
        <w:snapToGrid w:val="0"/>
        <w:spacing w:line="560" w:lineRule="exact"/>
        <w:ind w:firstLine="616" w:firstLineChars="200"/>
        <w:rPr>
          <w:rFonts w:hint="eastAsia" w:ascii="楷体_GB2312" w:hAnsi="楷体_GB2312" w:eastAsia="楷体_GB2312" w:cs="楷体_GB2312"/>
          <w:b w:val="0"/>
          <w:bCs/>
          <w:szCs w:val="32"/>
        </w:rPr>
      </w:pPr>
      <w:bookmarkStart w:id="0" w:name="OLE_LINK25"/>
      <w:bookmarkStart w:id="1" w:name="OLE_LINK26"/>
      <w:r>
        <w:rPr>
          <w:rFonts w:hint="eastAsia" w:ascii="楷体_GB2312" w:hAnsi="楷体_GB2312" w:eastAsia="楷体_GB2312" w:cs="楷体_GB2312"/>
          <w:b w:val="0"/>
          <w:bCs/>
          <w:szCs w:val="32"/>
        </w:rPr>
        <w:t>1．纵向科研项目（M</w:t>
      </w:r>
      <w:r>
        <w:rPr>
          <w:rFonts w:hint="eastAsia" w:ascii="楷体_GB2312" w:hAnsi="楷体_GB2312" w:eastAsia="楷体_GB2312" w:cs="楷体_GB2312"/>
          <w:b w:val="0"/>
          <w:bCs/>
          <w:szCs w:val="32"/>
          <w:vertAlign w:val="subscript"/>
        </w:rPr>
        <w:t>1-1</w:t>
      </w:r>
      <w:r>
        <w:rPr>
          <w:rFonts w:hint="eastAsia" w:ascii="楷体_GB2312" w:hAnsi="楷体_GB2312" w:eastAsia="楷体_GB2312" w:cs="楷体_GB2312"/>
          <w:b w:val="0"/>
          <w:bCs/>
          <w:szCs w:val="32"/>
        </w:rPr>
        <w:t>）</w:t>
      </w:r>
    </w:p>
    <w:bookmarkEnd w:id="0"/>
    <w:bookmarkEnd w:id="1"/>
    <w:tbl>
      <w:tblPr>
        <w:tblStyle w:val="4"/>
        <w:tblW w:w="9580" w:type="dxa"/>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0"/>
        <w:gridCol w:w="788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1" w:hRule="exact"/>
          <w:tblHeader/>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代码</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项目类别</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47"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bookmarkStart w:id="2" w:name="_Hlk484630923"/>
            <w:r>
              <w:rPr>
                <w:bCs/>
                <w:sz w:val="24"/>
                <w:szCs w:val="24"/>
              </w:rPr>
              <w:t>M</w:t>
            </w:r>
            <w:r>
              <w:rPr>
                <w:bCs/>
                <w:sz w:val="24"/>
                <w:szCs w:val="24"/>
                <w:vertAlign w:val="subscript"/>
              </w:rPr>
              <w:t>1-1-1</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sz w:val="24"/>
                <w:szCs w:val="24"/>
              </w:rPr>
            </w:pPr>
            <w:bookmarkStart w:id="3" w:name="OLE_LINK11"/>
            <w:r>
              <w:rPr>
                <w:sz w:val="24"/>
                <w:szCs w:val="24"/>
              </w:rPr>
              <w:t>国家</w:t>
            </w:r>
            <w:bookmarkStart w:id="4" w:name="OLE_LINK10"/>
            <w:r>
              <w:rPr>
                <w:sz w:val="24"/>
                <w:szCs w:val="24"/>
              </w:rPr>
              <w:t>科技重大专项、国家重点研发计划（除政府间国际科技创新合作重点专项\港澳台科技创新合作重点专项外）、国家技术创新引导专项（基金）项目负责人或实际到账总经费1000万及以上；</w:t>
            </w:r>
            <w:bookmarkEnd w:id="3"/>
            <w:bookmarkEnd w:id="4"/>
            <w:r>
              <w:rPr>
                <w:bCs/>
                <w:sz w:val="24"/>
                <w:szCs w:val="24"/>
              </w:rPr>
              <w:t>国家自然科学创新研究群体项目、国家重大仪器研制项目（部门推荐）</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bookmarkStart w:id="5" w:name="OLE_LINK2"/>
            <w:bookmarkStart w:id="6" w:name="OLE_LINK1"/>
            <w:r>
              <w:rPr>
                <w:bCs/>
                <w:sz w:val="24"/>
                <w:szCs w:val="24"/>
              </w:rPr>
              <w:t>6000</w:t>
            </w:r>
            <w:bookmarkEnd w:id="5"/>
            <w:bookmarkEnd w:id="6"/>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1-1-2</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国家社科基金（含教育、艺术、军事）重大招标项目</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sz w:val="24"/>
                <w:szCs w:val="24"/>
              </w:rPr>
            </w:pPr>
            <w:r>
              <w:rPr>
                <w:bCs/>
                <w:sz w:val="24"/>
                <w:szCs w:val="24"/>
              </w:rPr>
              <w:t>国家自然科学基金重大项目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bookmarkStart w:id="7" w:name="OLE_LINK6"/>
            <w:bookmarkStart w:id="8" w:name="OLE_LINK5"/>
            <w:r>
              <w:rPr>
                <w:bCs/>
                <w:sz w:val="24"/>
                <w:szCs w:val="24"/>
              </w:rPr>
              <w:t>5000</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1-1-3</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64" w:firstLineChars="200"/>
              <w:textAlignment w:val="auto"/>
              <w:rPr>
                <w:bCs/>
                <w:spacing w:val="-4"/>
                <w:sz w:val="24"/>
                <w:szCs w:val="24"/>
              </w:rPr>
            </w:pPr>
            <w:r>
              <w:rPr>
                <w:bCs/>
                <w:spacing w:val="-4"/>
                <w:sz w:val="24"/>
                <w:szCs w:val="24"/>
              </w:rPr>
              <w:t>国家社科基金（含教育、艺术、军事）重大招标专项项目</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国家自然科学基金项目杰出青年基金项目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1-1-4</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教育部哲学社科研究重大课题攻关项目</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国家自然科学基金重大仪器研制项目（自由申请）</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99"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1-1-5</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国家社科基金（含教育、艺术、军事）重点项目</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sz w:val="24"/>
                <w:szCs w:val="24"/>
              </w:rPr>
              <w:t>国家科技重大专项、国家重点研发计划、国家技术创新引导专项（基金）课题负责人或实际</w:t>
            </w:r>
            <w:bookmarkStart w:id="9" w:name="OLE_LINK7"/>
            <w:bookmarkStart w:id="10" w:name="OLE_LINK8"/>
            <w:r>
              <w:rPr>
                <w:sz w:val="24"/>
                <w:szCs w:val="24"/>
              </w:rPr>
              <w:t>到账总经费300（含）~1000万</w:t>
            </w:r>
            <w:bookmarkEnd w:id="9"/>
            <w:bookmarkEnd w:id="10"/>
            <w:r>
              <w:rPr>
                <w:sz w:val="24"/>
                <w:szCs w:val="24"/>
              </w:rPr>
              <w:t>；</w:t>
            </w:r>
            <w:r>
              <w:rPr>
                <w:bCs/>
                <w:sz w:val="24"/>
                <w:szCs w:val="24"/>
              </w:rPr>
              <w:t>国家自然科学基金重大研究计划（不含培育）、重点项目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31"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1-1-6</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国家社科基金冷门绝学等重点专项项目</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sz w:val="24"/>
                <w:szCs w:val="24"/>
              </w:rPr>
              <w:t>国家重点研发计划政府间国际科技创新合作重点专项\港澳台科技创新合作重点专项项目；</w:t>
            </w:r>
            <w:r>
              <w:rPr>
                <w:bCs/>
                <w:sz w:val="24"/>
                <w:szCs w:val="24"/>
              </w:rPr>
              <w:t>国家自然科学基金重点国际（地区）合作研究项目/组织间国际（地区）合作研究项目、优秀青年基金项目、联合基金重点项目、海外及港澳学者合作研究基金项目（延续资助项目）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551"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1-1-7</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社科基金年度项目（一般、青年）、后期资助项目（一般、优博）、中华外译项目，全国教科规划年度项目（国家一般、国家青年），全国艺术规划年度项目（国家一般、国家青年）；教育部哲学社会科学研究发展报告资助项目（建设项目）；国家艺术基金项目实际到账总经费100万及以上；国务院其他各部委项目（盖部委公章）</w:t>
            </w:r>
            <w:r>
              <w:rPr>
                <w:sz w:val="24"/>
                <w:szCs w:val="24"/>
              </w:rPr>
              <w:t>实际到账总经费</w:t>
            </w:r>
            <w:r>
              <w:rPr>
                <w:bCs/>
                <w:sz w:val="24"/>
                <w:szCs w:val="24"/>
              </w:rPr>
              <w:t>100万及以上</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sz w:val="24"/>
                <w:szCs w:val="24"/>
              </w:rPr>
              <w:t>国家科技重大专项、国家重点研发计划、国家技术创新引导专项（基金）子课题负责人（</w:t>
            </w:r>
            <w:r>
              <w:rPr>
                <w:bCs/>
                <w:sz w:val="24"/>
                <w:szCs w:val="24"/>
              </w:rPr>
              <w:t>30万及以上</w:t>
            </w:r>
            <w:r>
              <w:rPr>
                <w:sz w:val="24"/>
                <w:szCs w:val="24"/>
              </w:rPr>
              <w:t>）或实际到账总经费</w:t>
            </w:r>
            <w:bookmarkStart w:id="11" w:name="OLE_LINK9"/>
            <w:bookmarkStart w:id="12" w:name="OLE_LINK12"/>
            <w:r>
              <w:rPr>
                <w:sz w:val="24"/>
                <w:szCs w:val="24"/>
              </w:rPr>
              <w:t>100（含）~300万</w:t>
            </w:r>
            <w:bookmarkEnd w:id="11"/>
            <w:bookmarkEnd w:id="12"/>
            <w:r>
              <w:rPr>
                <w:sz w:val="24"/>
                <w:szCs w:val="24"/>
              </w:rPr>
              <w:t>；</w:t>
            </w:r>
            <w:r>
              <w:rPr>
                <w:bCs/>
                <w:sz w:val="24"/>
                <w:szCs w:val="24"/>
              </w:rPr>
              <w:t>国家自然科学基金面上基金、青年基金、重大研究计划（培育项目）、联合基金一般项目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4"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1-1-8</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教育部后期资助重大项目；省哲社规划重大招标项目</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浙江省重点研发计划项目；省自然科学基金项目（重大项目、杰出青年基金）</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28"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1-1-9</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48" w:firstLineChars="200"/>
              <w:textAlignment w:val="auto"/>
              <w:rPr>
                <w:bCs/>
                <w:spacing w:val="-8"/>
                <w:sz w:val="24"/>
                <w:szCs w:val="24"/>
              </w:rPr>
            </w:pPr>
            <w:r>
              <w:rPr>
                <w:bCs/>
                <w:spacing w:val="-8"/>
                <w:sz w:val="24"/>
                <w:szCs w:val="24"/>
              </w:rPr>
              <w:t>国家社科基金重大招标项目（校外）子项目</w:t>
            </w:r>
            <w:r>
              <w:rPr>
                <w:spacing w:val="-8"/>
                <w:sz w:val="24"/>
                <w:szCs w:val="24"/>
              </w:rPr>
              <w:t>实际到账总经费</w:t>
            </w:r>
            <w:r>
              <w:rPr>
                <w:bCs/>
                <w:spacing w:val="-8"/>
                <w:sz w:val="24"/>
                <w:szCs w:val="24"/>
              </w:rPr>
              <w:t>10万及以上；教育部后期资助重点项目；省哲社规划优势学科重大资助、新兴交叉学科重大扶持项目；国家艺术基金项目</w:t>
            </w:r>
            <w:r>
              <w:rPr>
                <w:spacing w:val="-8"/>
                <w:sz w:val="24"/>
                <w:szCs w:val="24"/>
              </w:rPr>
              <w:t>实际到账总经费30（含）~100万</w:t>
            </w:r>
            <w:r>
              <w:rPr>
                <w:bCs/>
                <w:spacing w:val="-8"/>
                <w:sz w:val="24"/>
                <w:szCs w:val="24"/>
              </w:rPr>
              <w:t>；国务院其他各部委项目（盖部委公章）</w:t>
            </w:r>
            <w:r>
              <w:rPr>
                <w:spacing w:val="-8"/>
                <w:sz w:val="24"/>
                <w:szCs w:val="24"/>
              </w:rPr>
              <w:t>实际到账总经费</w:t>
            </w:r>
            <w:r>
              <w:rPr>
                <w:bCs/>
                <w:spacing w:val="-8"/>
                <w:sz w:val="24"/>
                <w:szCs w:val="24"/>
              </w:rPr>
              <w:t>50万（含）~100万</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sz w:val="24"/>
                <w:szCs w:val="24"/>
              </w:rPr>
              <w:t>国家科技重大专项、国家重点研发计划、国家技术创新引导专项（基金）子课题负责人（</w:t>
            </w:r>
            <w:r>
              <w:rPr>
                <w:bCs/>
                <w:sz w:val="24"/>
                <w:szCs w:val="24"/>
              </w:rPr>
              <w:t>30万以下</w:t>
            </w:r>
            <w:r>
              <w:rPr>
                <w:sz w:val="24"/>
                <w:szCs w:val="24"/>
              </w:rPr>
              <w:t>）或实际到账总经费30（含）~100万</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88"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1-1-10</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国家社科基金重大招标项目（校外）子项目</w:t>
            </w:r>
            <w:r>
              <w:rPr>
                <w:sz w:val="24"/>
                <w:szCs w:val="24"/>
              </w:rPr>
              <w:t>实际到账总经费</w:t>
            </w:r>
            <w:r>
              <w:rPr>
                <w:bCs/>
                <w:sz w:val="24"/>
                <w:szCs w:val="24"/>
              </w:rPr>
              <w:t>5（含）~10万；国家艺术基金项目</w:t>
            </w:r>
            <w:r>
              <w:rPr>
                <w:sz w:val="24"/>
                <w:szCs w:val="24"/>
              </w:rPr>
              <w:t>实际到账总经费30万以下；</w:t>
            </w:r>
            <w:r>
              <w:rPr>
                <w:bCs/>
                <w:sz w:val="24"/>
                <w:szCs w:val="24"/>
              </w:rPr>
              <w:t>教育部科技计划重大项目、人文社科研究项目（含规划、青年、后期资助一般项目、各类专项任务及委托项目）、哲学社会科学研究发展报告项目（培育项目）；全国教科规划教育部重点项目；高校古委会规划重点项目；省哲社规划重点项目（含委托项目）；国务院其他各部委项目（盖部委公章）</w:t>
            </w:r>
            <w:r>
              <w:rPr>
                <w:sz w:val="24"/>
                <w:szCs w:val="24"/>
              </w:rPr>
              <w:t>实际到账总经费</w:t>
            </w:r>
            <w:r>
              <w:rPr>
                <w:bCs/>
                <w:sz w:val="24"/>
                <w:szCs w:val="24"/>
              </w:rPr>
              <w:t>30万（含）~50万</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sz w:val="24"/>
                <w:szCs w:val="24"/>
              </w:rPr>
              <w:t>国家科技重大专项、国家重点研发计划、国家技术创新引导专项（基金）实际到账总经费30万以下</w:t>
            </w:r>
            <w:r>
              <w:rPr>
                <w:bCs/>
                <w:sz w:val="24"/>
                <w:szCs w:val="24"/>
              </w:rPr>
              <w:t>；国家自然科学基金专项（天元基金、应急管理项目、理论物理专项、外国青年学者研究基金项目）、海外及港澳学者合作研究基金项目（两年期资助项目）；省自然科学基金项目（重点项目）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5"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1-1-11</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国家社科基金重大招标项目（校外）子项目</w:t>
            </w:r>
            <w:r>
              <w:rPr>
                <w:sz w:val="24"/>
                <w:szCs w:val="24"/>
              </w:rPr>
              <w:t>实际到账总经费</w:t>
            </w:r>
            <w:r>
              <w:rPr>
                <w:bCs/>
                <w:sz w:val="24"/>
                <w:szCs w:val="24"/>
              </w:rPr>
              <w:t>5万以下；全国教科规划教育部项目（青年、各研究专项）；全国艺术科学规划文化部项目；教育部人文社科基地重点招标项目、哲学社会科学研究重大课题攻关项目（校外）子项目</w:t>
            </w:r>
            <w:r>
              <w:rPr>
                <w:sz w:val="24"/>
                <w:szCs w:val="24"/>
              </w:rPr>
              <w:t>实际到账总经费</w:t>
            </w:r>
            <w:r>
              <w:rPr>
                <w:bCs/>
                <w:sz w:val="24"/>
                <w:szCs w:val="24"/>
              </w:rPr>
              <w:t>5万及以上；高校古委会直接资助项目；国务院其他各部委项目（盖部委公章）</w:t>
            </w:r>
            <w:r>
              <w:rPr>
                <w:sz w:val="24"/>
                <w:szCs w:val="24"/>
              </w:rPr>
              <w:t>实际到账总经费</w:t>
            </w:r>
            <w:r>
              <w:rPr>
                <w:bCs/>
                <w:sz w:val="24"/>
                <w:szCs w:val="24"/>
              </w:rPr>
              <w:t>10（含）~30万；国务院其他部委各司局项目30万及以上；省哲社规划项目（一般、青年、后期资助及其他专项）</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教育部科技计划重点项目；省自然科学基金项目（一般项目、青年基金）；省级一般科技计划项目（含软科学项目）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41"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1-1-12</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哲学社会科学研究重大课题攻关项目（校外）子项目5万以下；省高校重大人文社科项目攻关计划规划重点项目；省社科联重大课题；国务院其他各部委项目（盖部委公章）</w:t>
            </w:r>
            <w:r>
              <w:rPr>
                <w:sz w:val="24"/>
                <w:szCs w:val="24"/>
              </w:rPr>
              <w:t>实际到账总经费</w:t>
            </w:r>
            <w:r>
              <w:rPr>
                <w:bCs/>
                <w:sz w:val="24"/>
                <w:szCs w:val="24"/>
              </w:rPr>
              <w:t>10万以下；国务院其他部委各司局项目</w:t>
            </w:r>
            <w:r>
              <w:rPr>
                <w:sz w:val="24"/>
                <w:szCs w:val="24"/>
              </w:rPr>
              <w:t>实际到账总经费</w:t>
            </w:r>
            <w:r>
              <w:rPr>
                <w:bCs/>
                <w:sz w:val="24"/>
                <w:szCs w:val="24"/>
              </w:rPr>
              <w:t>10（含）~30万</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国家自然科学基金专项（国际交流与合作）；金华市科技计划重大项目、重点项目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57" w:hRule="atLeast"/>
        </w:trPr>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1-1-13</w:t>
            </w:r>
          </w:p>
        </w:tc>
        <w:tc>
          <w:tcPr>
            <w:tcW w:w="788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国务院其他部委各司局项目</w:t>
            </w:r>
            <w:r>
              <w:rPr>
                <w:sz w:val="24"/>
                <w:szCs w:val="24"/>
              </w:rPr>
              <w:t>实际到账总经费</w:t>
            </w:r>
            <w:r>
              <w:rPr>
                <w:bCs/>
                <w:sz w:val="24"/>
                <w:szCs w:val="24"/>
              </w:rPr>
              <w:t>10万以下；省高校重大人文社科项目攻关计划青年重点项目；高校古委会间接资助项目；省社科联重点项目、年度课题；省教育厅一般科研项目；其他厅局级（含省教科规划）重点项目、一般项目</w:t>
            </w:r>
          </w:p>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szCs w:val="24"/>
              </w:rPr>
            </w:pPr>
            <w:r>
              <w:rPr>
                <w:bCs/>
                <w:sz w:val="24"/>
                <w:szCs w:val="24"/>
              </w:rPr>
              <w:t>浙江省自然科学基金项目（国际交流与合作）；金华市科技计划一般项目</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50</w:t>
            </w:r>
          </w:p>
        </w:tc>
      </w:tr>
    </w:tbl>
    <w:p>
      <w:pPr>
        <w:keepNext w:val="0"/>
        <w:keepLines w:val="0"/>
        <w:pageBreakBefore w:val="0"/>
        <w:widowControl w:val="0"/>
        <w:kinsoku/>
        <w:wordWrap/>
        <w:overflowPunct/>
        <w:topLinePunct w:val="0"/>
        <w:autoSpaceDE/>
        <w:autoSpaceDN/>
        <w:bidi w:val="0"/>
        <w:adjustRightInd w:val="0"/>
        <w:snapToGrid w:val="0"/>
        <w:spacing w:line="572" w:lineRule="exact"/>
        <w:ind w:firstLine="619"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（1）纵向科研项目是指通过科学研究院组织申报或签订合同的国家和地方政府常设的财政科研项目。</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w:t>
      </w:r>
      <w:bookmarkStart w:id="13" w:name="OLE_LINK37"/>
      <w:bookmarkStart w:id="14" w:name="OLE_LINK36"/>
      <w:r>
        <w:rPr>
          <w:rFonts w:hint="eastAsia" w:ascii="仿宋_GB2312" w:hAnsi="仿宋_GB2312" w:eastAsia="仿宋_GB2312" w:cs="仿宋_GB2312"/>
          <w:bCs/>
          <w:szCs w:val="32"/>
        </w:rPr>
        <w:t>各类</w:t>
      </w:r>
      <w:bookmarkStart w:id="15" w:name="OLE_LINK35"/>
      <w:bookmarkStart w:id="16" w:name="OLE_LINK34"/>
      <w:r>
        <w:rPr>
          <w:rFonts w:hint="eastAsia" w:ascii="仿宋_GB2312" w:hAnsi="仿宋_GB2312" w:eastAsia="仿宋_GB2312" w:cs="仿宋_GB2312"/>
          <w:bCs/>
          <w:szCs w:val="32"/>
        </w:rPr>
        <w:t>纵向科研项目</w:t>
      </w:r>
      <w:bookmarkEnd w:id="13"/>
      <w:bookmarkEnd w:id="14"/>
      <w:r>
        <w:rPr>
          <w:rFonts w:hint="eastAsia" w:ascii="仿宋_GB2312" w:hAnsi="仿宋_GB2312" w:eastAsia="仿宋_GB2312" w:cs="仿宋_GB2312"/>
          <w:bCs/>
          <w:szCs w:val="32"/>
        </w:rPr>
        <w:t>按</w:t>
      </w:r>
      <w:bookmarkEnd w:id="15"/>
      <w:bookmarkEnd w:id="16"/>
      <w:r>
        <w:rPr>
          <w:rFonts w:hint="eastAsia" w:ascii="仿宋_GB2312" w:hAnsi="仿宋_GB2312" w:eastAsia="仿宋_GB2312" w:cs="仿宋_GB2312"/>
          <w:bCs/>
          <w:szCs w:val="32"/>
        </w:rPr>
        <w:t>立项部门下达的计划任务书认定等级，其中国家级项目主要包括国家科技部、国家自然科学基金委、全国哲社规划办（包括各类专项中的国家级课题）下达的科研项目；省部级项目主要包括省科技厅、省自然科学基金委、省社科规划办下达的科研项目，以及除国家科技部以外的其他国家部委（盖部委公章）下达的部级科研项目；厅局级项目主要包括省教育厅等政府部门、省教科规划办、省社科联、地级市科技局、地级市社科规划办等下达的科研项目，以及国家部委相关司局下达的科研项目。国家级重大项目子课题视为国家一般项目，省部级重大项目子课题视为省部级一般项目。本办法所称子课题是指立项部门发文公布或在项目申报书（或计划任务书）中明确设立的课题。</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（3）上述未涉及的项目将综合立项部门（以盖章为准）层次、实际到账经费等情况纳入上表相应档次计分并定级。</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（4）纳入计分的纵向科研项目需以我校为第一承担单位（除本类别第（10）条说明外），且只计分1次，并按研究周期平均分配年度业绩分。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bookmarkStart w:id="17" w:name="OLE_LINK15"/>
      <w:bookmarkStart w:id="18" w:name="OLE_LINK16"/>
      <w:r>
        <w:rPr>
          <w:rFonts w:hint="eastAsia" w:ascii="仿宋_GB2312" w:hAnsi="仿宋_GB2312" w:eastAsia="仿宋_GB2312" w:cs="仿宋_GB2312"/>
          <w:bCs/>
          <w:szCs w:val="32"/>
        </w:rPr>
        <w:t>（5）外单位转入的在研项目按到账经费占立项经费的比例计分，按剩余年限平均分配年度业绩分。</w:t>
      </w:r>
    </w:p>
    <w:bookmarkEnd w:id="17"/>
    <w:bookmarkEnd w:id="18"/>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（6）</w:t>
      </w:r>
      <w:bookmarkStart w:id="19" w:name="OLE_LINK18"/>
      <w:bookmarkStart w:id="20" w:name="OLE_LINK17"/>
      <w:r>
        <w:rPr>
          <w:rFonts w:hint="eastAsia" w:ascii="仿宋_GB2312" w:hAnsi="仿宋_GB2312" w:eastAsia="仿宋_GB2312" w:cs="仿宋_GB2312"/>
          <w:bCs/>
          <w:szCs w:val="32"/>
        </w:rPr>
        <w:t>以我校为第一承担单位多次获得下列纵向科研项目的，按以下规则累进计分：</w:t>
      </w:r>
      <w:bookmarkEnd w:id="19"/>
      <w:bookmarkEnd w:id="20"/>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65"/>
        <w:gridCol w:w="7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76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项目代码</w:t>
            </w:r>
          </w:p>
        </w:tc>
        <w:tc>
          <w:tcPr>
            <w:tcW w:w="4232"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累进计分与奖励规则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6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1-1-1</w:t>
            </w:r>
            <w:r>
              <w:rPr>
                <w:bCs/>
                <w:sz w:val="24"/>
              </w:rPr>
              <w:t>—M</w:t>
            </w:r>
            <w:r>
              <w:rPr>
                <w:bCs/>
                <w:sz w:val="24"/>
                <w:vertAlign w:val="subscript"/>
              </w:rPr>
              <w:t>1-1-4</w:t>
            </w:r>
          </w:p>
        </w:tc>
        <w:tc>
          <w:tcPr>
            <w:tcW w:w="4232"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rFonts w:hint="eastAsia"/>
                <w:bCs/>
                <w:sz w:val="24"/>
              </w:rPr>
            </w:pPr>
            <w:r>
              <w:rPr>
                <w:bCs/>
                <w:sz w:val="24"/>
              </w:rPr>
              <w:t>每新增本层次1项科研项目的，在原有业绩分基础上上浮15%累计计分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6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1-1-5</w:t>
            </w:r>
            <w:r>
              <w:rPr>
                <w:bCs/>
                <w:sz w:val="24"/>
              </w:rPr>
              <w:t>—M</w:t>
            </w:r>
            <w:r>
              <w:rPr>
                <w:bCs/>
                <w:sz w:val="24"/>
                <w:vertAlign w:val="subscript"/>
              </w:rPr>
              <w:t>1-1-6</w:t>
            </w:r>
          </w:p>
        </w:tc>
        <w:tc>
          <w:tcPr>
            <w:tcW w:w="4232"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rFonts w:hint="eastAsia"/>
                <w:bCs/>
                <w:sz w:val="24"/>
              </w:rPr>
            </w:pPr>
            <w:r>
              <w:rPr>
                <w:bCs/>
                <w:sz w:val="24"/>
              </w:rPr>
              <w:t>每新增本层次1项科研项目的，在原有业绩分基础上上浮10%累计计分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6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1-1-7</w:t>
            </w:r>
            <w:r>
              <w:rPr>
                <w:bCs/>
                <w:sz w:val="24"/>
              </w:rPr>
              <w:t>—M</w:t>
            </w:r>
            <w:r>
              <w:rPr>
                <w:bCs/>
                <w:sz w:val="24"/>
                <w:vertAlign w:val="subscript"/>
              </w:rPr>
              <w:t>1-1-9</w:t>
            </w:r>
          </w:p>
        </w:tc>
        <w:tc>
          <w:tcPr>
            <w:tcW w:w="4232"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bCs/>
                <w:sz w:val="24"/>
              </w:rPr>
            </w:pPr>
            <w:r>
              <w:rPr>
                <w:bCs/>
                <w:sz w:val="24"/>
              </w:rPr>
              <w:t>每新增本层次1项科研项目的，在原有业绩分基础上上浮5%累计计分，最高上浮不超过30%</w:t>
            </w:r>
          </w:p>
        </w:tc>
      </w:tr>
    </w:tbl>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（7）</w:t>
      </w:r>
      <w:bookmarkStart w:id="21" w:name="OLE_LINK19"/>
      <w:bookmarkStart w:id="22" w:name="OLE_LINK20"/>
      <w:r>
        <w:rPr>
          <w:rFonts w:hint="eastAsia" w:ascii="仿宋_GB2312" w:hAnsi="仿宋_GB2312" w:eastAsia="仿宋_GB2312" w:cs="仿宋_GB2312"/>
          <w:bCs/>
          <w:szCs w:val="32"/>
        </w:rPr>
        <w:t>同题滚动资助的纵向科研项目，每滚动资助1次在原有业绩分的基础上上浮20%计分，最高上浮不超过50%。</w:t>
      </w:r>
      <w:bookmarkEnd w:id="21"/>
      <w:bookmarkEnd w:id="22"/>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（8）获得不同部门同题立项的项目，按就高原则计分。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（9）</w:t>
      </w:r>
      <w:bookmarkStart w:id="23" w:name="OLE_LINK22"/>
      <w:bookmarkStart w:id="24" w:name="OLE_LINK21"/>
      <w:r>
        <w:rPr>
          <w:rFonts w:hint="eastAsia" w:ascii="仿宋_GB2312" w:hAnsi="仿宋_GB2312" w:eastAsia="仿宋_GB2312" w:cs="仿宋_GB2312"/>
          <w:bCs/>
          <w:szCs w:val="32"/>
        </w:rPr>
        <w:t>立项但无经费进入学校账户的纵向科研项目按50%计分。</w:t>
      </w:r>
      <w:bookmarkEnd w:id="23"/>
      <w:bookmarkEnd w:id="24"/>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（10）</w:t>
      </w:r>
      <w:bookmarkStart w:id="25" w:name="OLE_LINK24"/>
      <w:bookmarkStart w:id="26" w:name="OLE_LINK23"/>
      <w:r>
        <w:rPr>
          <w:rFonts w:hint="eastAsia" w:ascii="仿宋_GB2312" w:hAnsi="仿宋_GB2312" w:eastAsia="仿宋_GB2312" w:cs="仿宋_GB2312"/>
          <w:bCs/>
          <w:szCs w:val="32"/>
        </w:rPr>
        <w:t>与外单位联合申请的国家级项目、省部级重大重点项目（我校为非第一承担单位）的，或我校教师为项目负责人但由企业（或其他单位）牵头申报的，均按以下规则计分：到校经费占项目财政补助总经费比例≥30%的降一档计分，在10％～30%的降二档计分，&lt;10%的不计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（11）国际组织招标、委托的项目，与国外研究机构、大学合作开展的研究项目，政府以函件形式直接委托的项目参照横向项目计分（不定等级）。</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（12）各类校外省部级及以上重点学科、创新平台、研究基地开放基金项目，联合申报的省部级一般及以下纵向项目，按实际到账经费参照横向项目计分（不定等级）。</w:t>
      </w:r>
    </w:p>
    <w:bookmarkEnd w:id="25"/>
    <w:bookmarkEnd w:id="26"/>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（13）项目被撤销，则在撤销当年度追扣全部业绩分。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楷体_GB2312" w:hAnsi="楷体_GB2312" w:eastAsia="楷体_GB2312" w:cs="楷体_GB2312"/>
          <w:bCs/>
          <w:szCs w:val="32"/>
        </w:rPr>
      </w:pPr>
      <w:bookmarkStart w:id="27" w:name="OLE_LINK39"/>
      <w:bookmarkStart w:id="28" w:name="OLE_LINK38"/>
      <w:r>
        <w:rPr>
          <w:rFonts w:hint="eastAsia" w:ascii="楷体_GB2312" w:hAnsi="楷体_GB2312" w:eastAsia="楷体_GB2312" w:cs="楷体_GB2312"/>
          <w:bCs/>
          <w:szCs w:val="32"/>
        </w:rPr>
        <w:t>2．横向科研项目</w:t>
      </w:r>
      <w:bookmarkEnd w:id="27"/>
      <w:bookmarkEnd w:id="28"/>
      <w:r>
        <w:rPr>
          <w:rFonts w:hint="eastAsia" w:ascii="楷体_GB2312" w:hAnsi="楷体_GB2312" w:eastAsia="楷体_GB2312" w:cs="楷体_GB2312"/>
          <w:bCs/>
          <w:szCs w:val="32"/>
        </w:rPr>
        <w:t>（M</w:t>
      </w:r>
      <w:r>
        <w:rPr>
          <w:rFonts w:hint="eastAsia" w:ascii="楷体_GB2312" w:hAnsi="楷体_GB2312" w:eastAsia="楷体_GB2312" w:cs="楷体_GB2312"/>
          <w:bCs/>
          <w:szCs w:val="32"/>
          <w:vertAlign w:val="subscript"/>
        </w:rPr>
        <w:t>1-2</w:t>
      </w:r>
      <w:r>
        <w:rPr>
          <w:rFonts w:hint="eastAsia" w:ascii="楷体_GB2312" w:hAnsi="楷体_GB2312" w:eastAsia="楷体_GB2312" w:cs="楷体_GB2312"/>
          <w:bCs/>
          <w:szCs w:val="32"/>
        </w:rPr>
        <w:t>）</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09"/>
        <w:gridCol w:w="1011"/>
        <w:gridCol w:w="6190"/>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blHeader/>
        </w:trPr>
        <w:tc>
          <w:tcPr>
            <w:tcW w:w="45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代码</w:t>
            </w:r>
          </w:p>
        </w:tc>
        <w:tc>
          <w:tcPr>
            <w:tcW w:w="56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项目层次</w:t>
            </w:r>
          </w:p>
        </w:tc>
        <w:tc>
          <w:tcPr>
            <w:tcW w:w="347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项目类别</w:t>
            </w:r>
          </w:p>
        </w:tc>
        <w:tc>
          <w:tcPr>
            <w:tcW w:w="49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45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1-2-1</w:t>
            </w:r>
          </w:p>
        </w:tc>
        <w:tc>
          <w:tcPr>
            <w:tcW w:w="56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重大</w:t>
            </w:r>
          </w:p>
        </w:tc>
        <w:tc>
          <w:tcPr>
            <w:tcW w:w="347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sz w:val="24"/>
              </w:rPr>
            </w:pPr>
            <w:r>
              <w:rPr>
                <w:sz w:val="24"/>
              </w:rPr>
              <w:t>委托开展技术开发、技术转让类单项实际到款在120万元及以上或咨询服务、规划设计单项实际到款经费在80万元及以上项目</w:t>
            </w:r>
          </w:p>
        </w:tc>
        <w:tc>
          <w:tcPr>
            <w:tcW w:w="49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45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1-2-2</w:t>
            </w:r>
          </w:p>
        </w:tc>
        <w:tc>
          <w:tcPr>
            <w:tcW w:w="56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重点</w:t>
            </w:r>
          </w:p>
        </w:tc>
        <w:tc>
          <w:tcPr>
            <w:tcW w:w="347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sz w:val="24"/>
              </w:rPr>
            </w:pPr>
            <w:r>
              <w:rPr>
                <w:sz w:val="24"/>
              </w:rPr>
              <w:t>委托开展技术开发、技术转让类单项实际到款在80（含）~120万元或咨询服务、规划设计单项实际到款经费在50（含）~80万元及以上项目</w:t>
            </w:r>
          </w:p>
        </w:tc>
        <w:tc>
          <w:tcPr>
            <w:tcW w:w="49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45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1-2-3</w:t>
            </w:r>
          </w:p>
        </w:tc>
        <w:tc>
          <w:tcPr>
            <w:tcW w:w="56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一般</w:t>
            </w:r>
          </w:p>
        </w:tc>
        <w:tc>
          <w:tcPr>
            <w:tcW w:w="347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48" w:firstLineChars="200"/>
              <w:textAlignment w:val="auto"/>
              <w:rPr>
                <w:bCs/>
                <w:spacing w:val="-8"/>
                <w:sz w:val="24"/>
                <w:szCs w:val="24"/>
              </w:rPr>
            </w:pPr>
            <w:r>
              <w:rPr>
                <w:spacing w:val="-8"/>
                <w:sz w:val="24"/>
                <w:szCs w:val="24"/>
              </w:rPr>
              <w:t>委托开展技术开发、技术转让类单项实际到款在30（含）~80万元或咨询服务、规划设计单项实际到款经费在20（含）~50万元及以上项目</w:t>
            </w:r>
          </w:p>
        </w:tc>
        <w:tc>
          <w:tcPr>
            <w:tcW w:w="49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45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1-2-4</w:t>
            </w:r>
          </w:p>
        </w:tc>
        <w:tc>
          <w:tcPr>
            <w:tcW w:w="56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其他</w:t>
            </w:r>
          </w:p>
        </w:tc>
        <w:tc>
          <w:tcPr>
            <w:tcW w:w="3477"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rPr>
            </w:pPr>
            <w:r>
              <w:rPr>
                <w:sz w:val="24"/>
              </w:rPr>
              <w:t>委托开展技术开发、技术转让类单项实际到款在30万元以下或咨询服务、规划设计单项实际到款经费在20万元以下项目</w:t>
            </w:r>
          </w:p>
        </w:tc>
        <w:tc>
          <w:tcPr>
            <w:tcW w:w="498"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5/万元</w:t>
            </w:r>
          </w:p>
        </w:tc>
      </w:tr>
    </w:tbl>
    <w:p>
      <w:pPr>
        <w:keepNext w:val="0"/>
        <w:keepLines w:val="0"/>
        <w:pageBreakBefore w:val="0"/>
        <w:widowControl w:val="0"/>
        <w:kinsoku/>
        <w:wordWrap/>
        <w:overflowPunct/>
        <w:topLinePunct w:val="0"/>
        <w:autoSpaceDE/>
        <w:autoSpaceDN/>
        <w:bidi w:val="0"/>
        <w:adjustRightInd w:val="0"/>
        <w:snapToGrid w:val="0"/>
        <w:spacing w:line="540" w:lineRule="exact"/>
        <w:ind w:firstLine="619"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（1）横向科研项目是指以我校名义并通过科学研究院签订合同，按市场委托方式取得的项目。</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（2）横向科研项目按当年度实际到款额的等级分配当年业绩分；项目结题后，按整体项目等级一次性补足业绩分。</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（3）咨询服务类横向项目不包括教育培训项目。</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（4）横向科研项目中的施工费、施工材料费及转出经费不计算业绩分。</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Cs/>
          <w:szCs w:val="32"/>
        </w:rPr>
        <w:t>（5）进学校学科性公司横向科研项目按相应等次分值的60%计分。</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黑体" w:hAnsi="黑体" w:eastAsia="黑体" w:cs="黑体"/>
          <w:b w:val="0"/>
          <w:bCs/>
          <w:szCs w:val="32"/>
        </w:rPr>
      </w:pPr>
      <w:r>
        <w:rPr>
          <w:rFonts w:hint="eastAsia" w:ascii="黑体" w:hAnsi="黑体" w:eastAsia="黑体" w:cs="黑体"/>
          <w:b w:val="0"/>
          <w:bCs/>
          <w:szCs w:val="32"/>
          <w:lang w:val="en-US" w:eastAsia="zh-CN"/>
        </w:rPr>
        <w:t>二、</w:t>
      </w:r>
      <w:r>
        <w:rPr>
          <w:rFonts w:hint="eastAsia" w:ascii="黑体" w:hAnsi="黑体" w:eastAsia="黑体" w:cs="黑体"/>
          <w:b w:val="0"/>
          <w:bCs/>
          <w:szCs w:val="32"/>
        </w:rPr>
        <w:t>科研成果（M</w:t>
      </w:r>
      <w:r>
        <w:rPr>
          <w:rFonts w:hint="eastAsia" w:ascii="黑体" w:hAnsi="黑体" w:eastAsia="黑体" w:cs="黑体"/>
          <w:b w:val="0"/>
          <w:bCs/>
          <w:szCs w:val="32"/>
          <w:vertAlign w:val="subscript"/>
        </w:rPr>
        <w:t>2</w:t>
      </w:r>
      <w:r>
        <w:rPr>
          <w:rFonts w:hint="eastAsia" w:ascii="黑体" w:hAnsi="黑体" w:eastAsia="黑体" w:cs="黑体"/>
          <w:b w:val="0"/>
          <w:bCs/>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楷体_GB2312" w:hAnsi="楷体_GB2312" w:eastAsia="楷体_GB2312" w:cs="楷体_GB2312"/>
          <w:bCs/>
          <w:szCs w:val="32"/>
        </w:rPr>
      </w:pPr>
      <w:r>
        <w:rPr>
          <w:rFonts w:hint="eastAsia" w:ascii="楷体_GB2312" w:hAnsi="楷体_GB2312" w:eastAsia="楷体_GB2312" w:cs="楷体_GB2312"/>
          <w:bCs/>
          <w:szCs w:val="32"/>
        </w:rPr>
        <w:t>1．学术论文（M</w:t>
      </w:r>
      <w:r>
        <w:rPr>
          <w:rFonts w:hint="eastAsia" w:ascii="楷体_GB2312" w:hAnsi="楷体_GB2312" w:eastAsia="楷体_GB2312" w:cs="楷体_GB2312"/>
          <w:bCs/>
          <w:szCs w:val="32"/>
          <w:vertAlign w:val="subscript"/>
        </w:rPr>
        <w:t>2-1</w:t>
      </w:r>
      <w:r>
        <w:rPr>
          <w:rFonts w:hint="eastAsia" w:ascii="楷体_GB2312" w:hAnsi="楷体_GB2312" w:eastAsia="楷体_GB2312" w:cs="楷体_GB2312"/>
          <w:bCs/>
          <w:szCs w:val="32"/>
        </w:rPr>
        <w:t>）</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82"/>
        <w:gridCol w:w="1483"/>
        <w:gridCol w:w="1483"/>
        <w:gridCol w:w="1483"/>
        <w:gridCol w:w="1483"/>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类别</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代码</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分值</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类别</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代码</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bookmarkStart w:id="29" w:name="_Hlk484631459"/>
            <w:r>
              <w:rPr>
                <w:bCs/>
                <w:sz w:val="24"/>
              </w:rPr>
              <w:t>顶级</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2-1-1</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300</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二级</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2-1-4</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权威</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2-1-2</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200</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三级</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2-1-5</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20</w:t>
            </w: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一级</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2-1-3</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100</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19"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（1）期刊级别以《浙江师范大学期刊定级标准（修订）》（浙师科研字〔2020〕6号）为准。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w:t>
      </w:r>
      <w:bookmarkStart w:id="30" w:name="OLE_LINK50"/>
      <w:bookmarkStart w:id="31" w:name="OLE_LINK49"/>
      <w:r>
        <w:rPr>
          <w:rFonts w:hint="eastAsia" w:ascii="仿宋_GB2312" w:hAnsi="仿宋_GB2312" w:eastAsia="仿宋_GB2312" w:cs="仿宋_GB2312"/>
          <w:bCs/>
          <w:szCs w:val="32"/>
        </w:rPr>
        <w:t>论文署名第一作者或通讯作者的第一单位需为我校</w:t>
      </w:r>
      <w:bookmarkEnd w:id="30"/>
      <w:bookmarkEnd w:id="31"/>
      <w:bookmarkStart w:id="32" w:name="OLE_LINK53"/>
      <w:bookmarkStart w:id="33" w:name="OLE_LINK54"/>
      <w:r>
        <w:rPr>
          <w:rFonts w:hint="eastAsia" w:ascii="仿宋_GB2312" w:hAnsi="仿宋_GB2312" w:eastAsia="仿宋_GB2312" w:cs="仿宋_GB2312"/>
          <w:bCs/>
          <w:szCs w:val="32"/>
        </w:rPr>
        <w:t>（本类别第（7）条说明除外；</w:t>
      </w:r>
      <w:bookmarkStart w:id="34" w:name="OLE_LINK51"/>
      <w:bookmarkStart w:id="35" w:name="OLE_LINK52"/>
      <w:r>
        <w:rPr>
          <w:rFonts w:hint="eastAsia" w:ascii="仿宋_GB2312" w:hAnsi="仿宋_GB2312" w:eastAsia="仿宋_GB2312" w:cs="仿宋_GB2312"/>
          <w:bCs/>
          <w:szCs w:val="32"/>
        </w:rPr>
        <w:t>因刊物版式要求不予单位署名的论文，需由期刊社出具相关证明材料</w:t>
      </w:r>
      <w:bookmarkEnd w:id="34"/>
      <w:bookmarkEnd w:id="35"/>
      <w:r>
        <w:rPr>
          <w:rFonts w:hint="eastAsia" w:ascii="仿宋_GB2312" w:hAnsi="仿宋_GB2312" w:eastAsia="仿宋_GB2312" w:cs="仿宋_GB2312"/>
          <w:bCs/>
          <w:szCs w:val="32"/>
        </w:rPr>
        <w:t>）。</w:t>
      </w:r>
      <w:bookmarkEnd w:id="32"/>
      <w:bookmarkEnd w:id="33"/>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（3）师生共同署名，我校学生以第一作者发表论文的，排名最前的教师视同第一作者。</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（4）论文收录以法定机构公布为准，同一篇论文被多种检索系统同时收录、或发表后被《新华文摘》《中国社会科学文摘》《高等学校文科学术文摘》《人大复印资料》等重复转摘的，按就高原则计分。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（5）同一篇文章分上下篇发表在同一刊物两期上的，按1篇计分。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（6）在同一刊物中、英文版上发表同一篇论文的，按120%计分。</w:t>
      </w:r>
      <w:bookmarkStart w:id="36" w:name="OLE_LINK55"/>
      <w:bookmarkStart w:id="37" w:name="OLE_LINK56"/>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（7）发表在</w:t>
      </w:r>
      <w:r>
        <w:rPr>
          <w:rFonts w:hint="eastAsia" w:ascii="仿宋_GB2312" w:hAnsi="仿宋_GB2312" w:eastAsia="仿宋_GB2312" w:cs="仿宋_GB2312"/>
          <w:bCs/>
          <w:i/>
          <w:iCs/>
          <w:szCs w:val="32"/>
        </w:rPr>
        <w:t>NATURE、SCIENCE、CELL</w:t>
      </w:r>
      <w:r>
        <w:rPr>
          <w:rFonts w:hint="eastAsia" w:ascii="仿宋_GB2312" w:hAnsi="仿宋_GB2312" w:eastAsia="仿宋_GB2312" w:cs="仿宋_GB2312"/>
          <w:bCs/>
          <w:szCs w:val="32"/>
        </w:rPr>
        <w:t>正刊上的学术论文，按以下规则</w:t>
      </w:r>
      <w:bookmarkEnd w:id="36"/>
      <w:bookmarkEnd w:id="37"/>
      <w:r>
        <w:rPr>
          <w:rFonts w:hint="eastAsia" w:ascii="仿宋_GB2312" w:hAnsi="仿宋_GB2312" w:eastAsia="仿宋_GB2312" w:cs="仿宋_GB2312"/>
          <w:bCs/>
          <w:szCs w:val="32"/>
        </w:rPr>
        <w:t>计分：</w:t>
      </w: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33"/>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blHeader/>
        </w:trPr>
        <w:tc>
          <w:tcPr>
            <w:tcW w:w="3445"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署名情况</w:t>
            </w:r>
          </w:p>
        </w:tc>
        <w:tc>
          <w:tcPr>
            <w:tcW w:w="1554"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sz w:val="24"/>
              </w:rPr>
            </w:pPr>
            <w:r>
              <w:rPr>
                <w:rFonts w:hint="eastAsia" w:ascii="黑体" w:hAnsi="黑体" w:eastAsia="黑体" w:cs="黑体"/>
                <w:b w:val="0"/>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blHeader/>
        </w:trPr>
        <w:tc>
          <w:tcPr>
            <w:tcW w:w="344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b/>
                <w:sz w:val="24"/>
              </w:rPr>
            </w:pPr>
          </w:p>
        </w:tc>
        <w:tc>
          <w:tcPr>
            <w:tcW w:w="1554"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344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bCs/>
                <w:sz w:val="24"/>
              </w:rPr>
            </w:pPr>
            <w:r>
              <w:rPr>
                <w:bCs/>
                <w:sz w:val="24"/>
              </w:rPr>
              <w:t>第一（通讯）作者</w:t>
            </w:r>
            <w:r>
              <w:rPr>
                <w:rFonts w:hint="eastAsia"/>
                <w:bCs/>
                <w:sz w:val="24"/>
                <w:lang w:eastAsia="zh-CN"/>
              </w:rPr>
              <w:t>，</w:t>
            </w:r>
            <w:r>
              <w:rPr>
                <w:bCs/>
                <w:sz w:val="24"/>
              </w:rPr>
              <w:t>且第一单位发表</w:t>
            </w:r>
          </w:p>
        </w:tc>
        <w:tc>
          <w:tcPr>
            <w:tcW w:w="1554"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bCs/>
                <w:sz w:val="24"/>
              </w:rPr>
            </w:pPr>
            <w:r>
              <w:rPr>
                <w:bCs/>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344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bCs/>
                <w:sz w:val="24"/>
              </w:rPr>
            </w:pPr>
            <w:r>
              <w:rPr>
                <w:bCs/>
                <w:sz w:val="24"/>
              </w:rPr>
              <w:t>第一（通讯）作者、第二单位发表</w:t>
            </w:r>
          </w:p>
        </w:tc>
        <w:tc>
          <w:tcPr>
            <w:tcW w:w="1554"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bCs/>
                <w:sz w:val="24"/>
              </w:rPr>
            </w:pPr>
            <w:r>
              <w:rPr>
                <w:bCs/>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3445"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bCs/>
                <w:sz w:val="24"/>
              </w:rPr>
            </w:pPr>
            <w:r>
              <w:rPr>
                <w:bCs/>
                <w:sz w:val="24"/>
              </w:rPr>
              <w:t>第二作者、第二单位发表</w:t>
            </w:r>
          </w:p>
        </w:tc>
        <w:tc>
          <w:tcPr>
            <w:tcW w:w="1554" w:type="pc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bCs/>
                <w:sz w:val="24"/>
              </w:rPr>
            </w:pPr>
            <w:r>
              <w:rPr>
                <w:bCs/>
                <w:sz w:val="24"/>
              </w:rPr>
              <w:t>2000</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_GB2312" w:eastAsia="仿宋_GB2312" w:cs="仿宋_GB2312"/>
          <w:bCs/>
          <w:szCs w:val="32"/>
        </w:rPr>
      </w:pPr>
      <w:bookmarkStart w:id="38" w:name="OLE_LINK58"/>
      <w:bookmarkStart w:id="39" w:name="OLE_LINK57"/>
      <w:r>
        <w:rPr>
          <w:rFonts w:hint="eastAsia" w:ascii="仿宋_GB2312" w:hAnsi="仿宋_GB2312" w:eastAsia="仿宋_GB2312" w:cs="仿宋_GB2312"/>
          <w:bCs/>
          <w:szCs w:val="32"/>
        </w:rPr>
        <w:t>（8）发表在</w:t>
      </w:r>
      <w:r>
        <w:rPr>
          <w:rFonts w:hint="eastAsia" w:ascii="仿宋_GB2312" w:hAnsi="仿宋_GB2312" w:eastAsia="仿宋_GB2312" w:cs="仿宋_GB2312"/>
          <w:bCs/>
          <w:i/>
          <w:iCs/>
          <w:szCs w:val="32"/>
        </w:rPr>
        <w:t>NATURE、SCIENCE、CELL</w:t>
      </w:r>
      <w:r>
        <w:rPr>
          <w:rFonts w:hint="eastAsia" w:ascii="仿宋_GB2312" w:hAnsi="仿宋_GB2312" w:eastAsia="仿宋_GB2312" w:cs="仿宋_GB2312"/>
          <w:bCs/>
          <w:szCs w:val="32"/>
        </w:rPr>
        <w:t>子刊上的学术论文，在原有业绩分的基础上上浮50%计分。</w:t>
      </w:r>
    </w:p>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（9）发表在《中国社会科学》论文计500分；论文选入国际基本科学指标数据库的热点论文、高被引论文，在入选当年分别一次性补足到800分和500分。</w:t>
      </w:r>
    </w:p>
    <w:bookmarkEnd w:id="38"/>
    <w:bookmarkEnd w:id="39"/>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（10）发表在期刊上的艺术作品按该期刊级别计分。</w:t>
      </w:r>
    </w:p>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（11）在同一期期刊或报纸上发表多篇论文或多篇艺术作品的按1篇计。</w:t>
      </w:r>
    </w:p>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textAlignment w:val="auto"/>
        <w:rPr>
          <w:rFonts w:hint="eastAsia" w:ascii="楷体_GB2312" w:hAnsi="楷体_GB2312" w:eastAsia="楷体_GB2312" w:cs="楷体_GB2312"/>
          <w:bCs/>
          <w:szCs w:val="32"/>
        </w:rPr>
      </w:pPr>
      <w:r>
        <w:rPr>
          <w:rFonts w:hint="eastAsia" w:ascii="楷体_GB2312" w:hAnsi="楷体_GB2312" w:eastAsia="楷体_GB2312" w:cs="楷体_GB2312"/>
          <w:bCs/>
          <w:szCs w:val="32"/>
        </w:rPr>
        <w:t>2．学术著作（M</w:t>
      </w:r>
      <w:r>
        <w:rPr>
          <w:rFonts w:hint="eastAsia" w:ascii="楷体_GB2312" w:hAnsi="楷体_GB2312" w:eastAsia="楷体_GB2312" w:cs="楷体_GB2312"/>
          <w:bCs/>
          <w:szCs w:val="32"/>
          <w:vertAlign w:val="subscript"/>
        </w:rPr>
        <w:t>2-2</w:t>
      </w:r>
      <w:r>
        <w:rPr>
          <w:rFonts w:hint="eastAsia" w:ascii="楷体_GB2312" w:hAnsi="楷体_GB2312" w:eastAsia="楷体_GB2312" w:cs="楷体_GB2312"/>
          <w:bCs/>
          <w:szCs w:val="32"/>
        </w:rPr>
        <w:t>）</w:t>
      </w:r>
    </w:p>
    <w:tbl>
      <w:tblPr>
        <w:tblStyle w:val="4"/>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1660"/>
        <w:gridCol w:w="539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933" w:type="pct"/>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代码</w:t>
            </w:r>
          </w:p>
        </w:tc>
        <w:tc>
          <w:tcPr>
            <w:tcW w:w="3031" w:type="pct"/>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类    别</w:t>
            </w:r>
          </w:p>
        </w:tc>
        <w:tc>
          <w:tcPr>
            <w:tcW w:w="1035" w:type="pct"/>
            <w:tcBorders>
              <w:right w:val="single" w:color="auto" w:sz="4" w:space="0"/>
            </w:tcBorders>
            <w:vAlign w:val="center"/>
          </w:tcPr>
          <w:p>
            <w:pPr>
              <w:adjustRightInd w:val="0"/>
              <w:snapToGrid w:val="0"/>
              <w:spacing w:line="360" w:lineRule="exact"/>
              <w:jc w:val="center"/>
              <w:rPr>
                <w:rFonts w:hint="eastAsia" w:ascii="黑体" w:hAnsi="黑体" w:eastAsia="黑体" w:cs="黑体"/>
                <w:b w:val="0"/>
                <w:bCs/>
                <w:sz w:val="24"/>
              </w:rPr>
            </w:pPr>
            <w:r>
              <w:rPr>
                <w:rFonts w:hint="eastAsia" w:ascii="黑体" w:hAnsi="黑体" w:eastAsia="黑体" w:cs="黑体"/>
                <w:b w:val="0"/>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933" w:type="pct"/>
            <w:vAlign w:val="center"/>
          </w:tcPr>
          <w:p>
            <w:pPr>
              <w:adjustRightInd w:val="0"/>
              <w:snapToGrid w:val="0"/>
              <w:spacing w:line="360" w:lineRule="exact"/>
              <w:jc w:val="center"/>
              <w:rPr>
                <w:bCs/>
                <w:sz w:val="24"/>
              </w:rPr>
            </w:pPr>
            <w:r>
              <w:rPr>
                <w:bCs/>
                <w:sz w:val="24"/>
              </w:rPr>
              <w:t>M</w:t>
            </w:r>
            <w:r>
              <w:rPr>
                <w:bCs/>
                <w:sz w:val="24"/>
                <w:vertAlign w:val="subscript"/>
              </w:rPr>
              <w:t>2-2-1</w:t>
            </w:r>
          </w:p>
        </w:tc>
        <w:tc>
          <w:tcPr>
            <w:tcW w:w="3031" w:type="pct"/>
            <w:vAlign w:val="center"/>
          </w:tcPr>
          <w:p>
            <w:pPr>
              <w:adjustRightInd w:val="0"/>
              <w:snapToGrid w:val="0"/>
              <w:spacing w:line="360" w:lineRule="exact"/>
              <w:jc w:val="center"/>
              <w:rPr>
                <w:bCs/>
                <w:sz w:val="24"/>
              </w:rPr>
            </w:pPr>
            <w:r>
              <w:rPr>
                <w:bCs/>
                <w:sz w:val="24"/>
              </w:rPr>
              <w:t>入选《国家哲学社会科学优秀成果文库》成果</w:t>
            </w:r>
          </w:p>
        </w:tc>
        <w:tc>
          <w:tcPr>
            <w:tcW w:w="1035" w:type="pct"/>
            <w:tcBorders>
              <w:right w:val="single" w:color="auto" w:sz="4" w:space="0"/>
            </w:tcBorders>
            <w:vAlign w:val="center"/>
          </w:tcPr>
          <w:p>
            <w:pPr>
              <w:adjustRightInd w:val="0"/>
              <w:snapToGrid w:val="0"/>
              <w:spacing w:line="360" w:lineRule="exact"/>
              <w:jc w:val="center"/>
              <w:rPr>
                <w:bCs/>
                <w:sz w:val="24"/>
              </w:rPr>
            </w:pPr>
            <w:r>
              <w:rPr>
                <w:bCs/>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933" w:type="pct"/>
            <w:vAlign w:val="center"/>
          </w:tcPr>
          <w:p>
            <w:pPr>
              <w:adjustRightInd w:val="0"/>
              <w:snapToGrid w:val="0"/>
              <w:spacing w:line="360" w:lineRule="exact"/>
              <w:jc w:val="center"/>
              <w:rPr>
                <w:bCs/>
                <w:sz w:val="24"/>
              </w:rPr>
            </w:pPr>
            <w:r>
              <w:rPr>
                <w:bCs/>
                <w:sz w:val="24"/>
              </w:rPr>
              <w:t>M</w:t>
            </w:r>
            <w:r>
              <w:rPr>
                <w:bCs/>
                <w:sz w:val="24"/>
                <w:vertAlign w:val="subscript"/>
              </w:rPr>
              <w:t>2-2-2</w:t>
            </w:r>
          </w:p>
        </w:tc>
        <w:tc>
          <w:tcPr>
            <w:tcW w:w="3031" w:type="pct"/>
            <w:vAlign w:val="center"/>
          </w:tcPr>
          <w:p>
            <w:pPr>
              <w:adjustRightInd w:val="0"/>
              <w:snapToGrid w:val="0"/>
              <w:spacing w:line="360" w:lineRule="exact"/>
              <w:jc w:val="center"/>
              <w:rPr>
                <w:bCs/>
                <w:sz w:val="24"/>
              </w:rPr>
            </w:pPr>
            <w:r>
              <w:rPr>
                <w:bCs/>
                <w:sz w:val="24"/>
              </w:rPr>
              <w:t>A类</w:t>
            </w:r>
          </w:p>
        </w:tc>
        <w:tc>
          <w:tcPr>
            <w:tcW w:w="1035" w:type="pct"/>
            <w:tcBorders>
              <w:right w:val="single" w:color="auto" w:sz="4" w:space="0"/>
            </w:tcBorders>
            <w:vAlign w:val="center"/>
          </w:tcPr>
          <w:p>
            <w:pPr>
              <w:adjustRightInd w:val="0"/>
              <w:snapToGrid w:val="0"/>
              <w:spacing w:line="360" w:lineRule="exact"/>
              <w:jc w:val="center"/>
              <w:rPr>
                <w:bCs/>
                <w:sz w:val="24"/>
              </w:rPr>
            </w:pPr>
            <w:r>
              <w:rPr>
                <w:bCs/>
                <w:sz w:val="24"/>
              </w:rPr>
              <w:t xml:space="preserve">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933" w:type="pct"/>
            <w:vAlign w:val="center"/>
          </w:tcPr>
          <w:p>
            <w:pPr>
              <w:adjustRightInd w:val="0"/>
              <w:snapToGrid w:val="0"/>
              <w:spacing w:line="360" w:lineRule="exact"/>
              <w:jc w:val="center"/>
              <w:rPr>
                <w:bCs/>
                <w:sz w:val="24"/>
              </w:rPr>
            </w:pPr>
            <w:r>
              <w:rPr>
                <w:bCs/>
                <w:sz w:val="24"/>
              </w:rPr>
              <w:t>M</w:t>
            </w:r>
            <w:r>
              <w:rPr>
                <w:bCs/>
                <w:sz w:val="24"/>
                <w:vertAlign w:val="subscript"/>
              </w:rPr>
              <w:t>2-2-3</w:t>
            </w:r>
          </w:p>
        </w:tc>
        <w:tc>
          <w:tcPr>
            <w:tcW w:w="3031" w:type="pct"/>
            <w:vAlign w:val="center"/>
          </w:tcPr>
          <w:p>
            <w:pPr>
              <w:adjustRightInd w:val="0"/>
              <w:snapToGrid w:val="0"/>
              <w:spacing w:line="360" w:lineRule="exact"/>
              <w:jc w:val="center"/>
              <w:rPr>
                <w:bCs/>
                <w:sz w:val="24"/>
              </w:rPr>
            </w:pPr>
            <w:r>
              <w:rPr>
                <w:bCs/>
                <w:sz w:val="24"/>
              </w:rPr>
              <w:t>B类</w:t>
            </w:r>
          </w:p>
        </w:tc>
        <w:tc>
          <w:tcPr>
            <w:tcW w:w="1035" w:type="pct"/>
            <w:tcBorders>
              <w:right w:val="single" w:color="auto" w:sz="4" w:space="0"/>
            </w:tcBorders>
            <w:vAlign w:val="center"/>
          </w:tcPr>
          <w:p>
            <w:pPr>
              <w:adjustRightInd w:val="0"/>
              <w:snapToGrid w:val="0"/>
              <w:spacing w:line="360" w:lineRule="exact"/>
              <w:jc w:val="center"/>
              <w:rPr>
                <w:bCs/>
                <w:sz w:val="24"/>
              </w:rPr>
            </w:pPr>
            <w:r>
              <w:rPr>
                <w:bCs/>
                <w:sz w:val="24"/>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933" w:type="pct"/>
            <w:vAlign w:val="center"/>
          </w:tcPr>
          <w:p>
            <w:pPr>
              <w:adjustRightInd w:val="0"/>
              <w:snapToGrid w:val="0"/>
              <w:spacing w:line="360" w:lineRule="exact"/>
              <w:jc w:val="center"/>
              <w:rPr>
                <w:bCs/>
                <w:sz w:val="24"/>
              </w:rPr>
            </w:pPr>
            <w:r>
              <w:rPr>
                <w:bCs/>
                <w:sz w:val="24"/>
              </w:rPr>
              <w:t>M</w:t>
            </w:r>
            <w:r>
              <w:rPr>
                <w:bCs/>
                <w:sz w:val="24"/>
                <w:vertAlign w:val="subscript"/>
              </w:rPr>
              <w:t>2-2-4</w:t>
            </w:r>
          </w:p>
        </w:tc>
        <w:tc>
          <w:tcPr>
            <w:tcW w:w="3031" w:type="pct"/>
            <w:vAlign w:val="center"/>
          </w:tcPr>
          <w:p>
            <w:pPr>
              <w:adjustRightInd w:val="0"/>
              <w:snapToGrid w:val="0"/>
              <w:spacing w:line="360" w:lineRule="exact"/>
              <w:jc w:val="center"/>
              <w:rPr>
                <w:bCs/>
                <w:sz w:val="24"/>
              </w:rPr>
            </w:pPr>
            <w:r>
              <w:rPr>
                <w:bCs/>
                <w:sz w:val="24"/>
              </w:rPr>
              <w:t>C类</w:t>
            </w:r>
          </w:p>
        </w:tc>
        <w:tc>
          <w:tcPr>
            <w:tcW w:w="1035" w:type="pct"/>
            <w:tcBorders>
              <w:right w:val="single" w:color="auto" w:sz="4" w:space="0"/>
            </w:tcBorders>
            <w:vAlign w:val="center"/>
          </w:tcPr>
          <w:p>
            <w:pPr>
              <w:adjustRightInd w:val="0"/>
              <w:snapToGrid w:val="0"/>
              <w:spacing w:line="360" w:lineRule="exact"/>
              <w:jc w:val="center"/>
              <w:rPr>
                <w:bCs/>
                <w:sz w:val="24"/>
              </w:rPr>
            </w:pPr>
            <w:r>
              <w:rPr>
                <w:bCs/>
                <w:sz w:val="24"/>
              </w:rPr>
              <w:t xml:space="preserve">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933" w:type="pct"/>
            <w:vAlign w:val="center"/>
          </w:tcPr>
          <w:p>
            <w:pPr>
              <w:adjustRightInd w:val="0"/>
              <w:snapToGrid w:val="0"/>
              <w:spacing w:line="360" w:lineRule="exact"/>
              <w:jc w:val="center"/>
              <w:rPr>
                <w:bCs/>
                <w:sz w:val="24"/>
              </w:rPr>
            </w:pPr>
            <w:r>
              <w:rPr>
                <w:bCs/>
                <w:sz w:val="24"/>
              </w:rPr>
              <w:t>M</w:t>
            </w:r>
            <w:r>
              <w:rPr>
                <w:bCs/>
                <w:sz w:val="24"/>
                <w:vertAlign w:val="subscript"/>
              </w:rPr>
              <w:t>2-2-5</w:t>
            </w:r>
          </w:p>
        </w:tc>
        <w:tc>
          <w:tcPr>
            <w:tcW w:w="3031" w:type="pct"/>
            <w:vAlign w:val="center"/>
          </w:tcPr>
          <w:p>
            <w:pPr>
              <w:adjustRightInd w:val="0"/>
              <w:snapToGrid w:val="0"/>
              <w:spacing w:line="360" w:lineRule="exact"/>
              <w:jc w:val="center"/>
              <w:rPr>
                <w:bCs/>
                <w:sz w:val="24"/>
              </w:rPr>
            </w:pPr>
            <w:r>
              <w:rPr>
                <w:bCs/>
                <w:sz w:val="24"/>
              </w:rPr>
              <w:t>D类</w:t>
            </w:r>
          </w:p>
        </w:tc>
        <w:tc>
          <w:tcPr>
            <w:tcW w:w="1035" w:type="pct"/>
            <w:tcBorders>
              <w:right w:val="single" w:color="auto" w:sz="4" w:space="0"/>
            </w:tcBorders>
            <w:vAlign w:val="center"/>
          </w:tcPr>
          <w:p>
            <w:pPr>
              <w:adjustRightInd w:val="0"/>
              <w:snapToGrid w:val="0"/>
              <w:spacing w:line="360" w:lineRule="exact"/>
              <w:jc w:val="center"/>
              <w:rPr>
                <w:bCs/>
                <w:sz w:val="24"/>
              </w:rPr>
            </w:pPr>
            <w:r>
              <w:rPr>
                <w:bCs/>
                <w:sz w:val="24"/>
              </w:rPr>
              <w:t xml:space="preserve">20 </w:t>
            </w:r>
          </w:p>
        </w:tc>
      </w:tr>
    </w:tbl>
    <w:p>
      <w:pPr>
        <w:keepNext w:val="0"/>
        <w:keepLines w:val="0"/>
        <w:pageBreakBefore w:val="0"/>
        <w:widowControl w:val="0"/>
        <w:kinsoku/>
        <w:wordWrap/>
        <w:overflowPunct/>
        <w:topLinePunct w:val="0"/>
        <w:autoSpaceDE/>
        <w:autoSpaceDN/>
        <w:bidi w:val="0"/>
        <w:adjustRightInd w:val="0"/>
        <w:snapToGrid w:val="0"/>
        <w:spacing w:line="540" w:lineRule="exact"/>
        <w:ind w:firstLine="619"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（1）著作等级依据《浙江师范大学著作定级评审办法》（浙师科研字〔2020〕2号）评定。</w:t>
      </w:r>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仿宋_GB2312" w:hAnsi="仿宋_GB2312" w:eastAsia="仿宋_GB2312" w:cs="仿宋_GB2312"/>
          <w:bCs/>
          <w:szCs w:val="32"/>
        </w:rPr>
      </w:pPr>
      <w:bookmarkStart w:id="40" w:name="OLE_LINK64"/>
      <w:bookmarkStart w:id="41" w:name="OLE_LINK63"/>
      <w:r>
        <w:rPr>
          <w:rFonts w:hint="eastAsia" w:ascii="仿宋_GB2312" w:hAnsi="仿宋_GB2312" w:eastAsia="仿宋_GB2312" w:cs="仿宋_GB2312"/>
          <w:bCs/>
          <w:szCs w:val="32"/>
        </w:rPr>
        <w:t>（2）著作应体现浙江师范大学署名信息，且我校为第一完成单位（因出版社版式要求不予体现单位署名信息的，需由出版社出具相关证明材料），未体现我校署名信息也无出版社相关证明的原则上不计分。</w:t>
      </w:r>
      <w:bookmarkEnd w:id="40"/>
      <w:bookmarkEnd w:id="41"/>
    </w:p>
    <w:p>
      <w:pPr>
        <w:keepNext w:val="0"/>
        <w:keepLines w:val="0"/>
        <w:pageBreakBefore w:val="0"/>
        <w:widowControl w:val="0"/>
        <w:kinsoku/>
        <w:wordWrap/>
        <w:overflowPunct/>
        <w:topLinePunct w:val="0"/>
        <w:autoSpaceDE/>
        <w:autoSpaceDN/>
        <w:bidi w:val="0"/>
        <w:adjustRightInd w:val="0"/>
        <w:snapToGrid w:val="0"/>
        <w:spacing w:line="54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（3）作者翻译出版自己著作的，译著按原著等级加计20%业绩分。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rFonts w:hint="eastAsia" w:ascii="仿宋_GB2312" w:hAnsi="仿宋_GB2312" w:eastAsia="仿宋_GB2312" w:cs="仿宋_GB2312"/>
          <w:bCs/>
          <w:szCs w:val="32"/>
        </w:rPr>
        <w:t>（4）师生共同署名，我校学生以第一作者的，排名最前的教师视同第一作者。</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楷体_GB2312" w:hAnsi="楷体_GB2312" w:eastAsia="楷体_GB2312" w:cs="楷体_GB2312"/>
          <w:bCs/>
          <w:szCs w:val="32"/>
        </w:rPr>
      </w:pPr>
      <w:bookmarkStart w:id="42" w:name="OLE_LINK68"/>
      <w:bookmarkStart w:id="43" w:name="OLE_LINK67"/>
      <w:r>
        <w:rPr>
          <w:rFonts w:hint="eastAsia" w:ascii="楷体_GB2312" w:hAnsi="楷体_GB2312" w:eastAsia="楷体_GB2312" w:cs="楷体_GB2312"/>
          <w:bCs/>
          <w:szCs w:val="32"/>
        </w:rPr>
        <w:t>3．知识产权（M</w:t>
      </w:r>
      <w:r>
        <w:rPr>
          <w:rFonts w:hint="eastAsia" w:ascii="楷体_GB2312" w:hAnsi="楷体_GB2312" w:eastAsia="楷体_GB2312" w:cs="楷体_GB2312"/>
          <w:bCs/>
          <w:szCs w:val="32"/>
          <w:vertAlign w:val="subscript"/>
        </w:rPr>
        <w:t>2-3</w:t>
      </w:r>
      <w:r>
        <w:rPr>
          <w:rFonts w:hint="eastAsia" w:ascii="楷体_GB2312" w:hAnsi="楷体_GB2312" w:eastAsia="楷体_GB2312" w:cs="楷体_GB2312"/>
          <w:bCs/>
          <w:szCs w:val="32"/>
        </w:rPr>
        <w:t>）</w:t>
      </w:r>
      <w:bookmarkEnd w:id="42"/>
      <w:bookmarkEnd w:id="43"/>
    </w:p>
    <w:tbl>
      <w:tblPr>
        <w:tblStyle w:val="4"/>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1643"/>
        <w:gridCol w:w="5450"/>
        <w:gridCol w:w="1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tblHeader/>
        </w:trPr>
        <w:tc>
          <w:tcPr>
            <w:tcW w:w="92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代码</w:t>
            </w:r>
          </w:p>
        </w:tc>
        <w:tc>
          <w:tcPr>
            <w:tcW w:w="306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类  别</w:t>
            </w:r>
          </w:p>
        </w:tc>
        <w:tc>
          <w:tcPr>
            <w:tcW w:w="101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trPr>
        <w:tc>
          <w:tcPr>
            <w:tcW w:w="92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2-3-1</w:t>
            </w:r>
          </w:p>
        </w:tc>
        <w:tc>
          <w:tcPr>
            <w:tcW w:w="306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bCs/>
                <w:sz w:val="24"/>
              </w:rPr>
            </w:pPr>
            <w:bookmarkStart w:id="44" w:name="OLE_LINK65"/>
            <w:bookmarkStart w:id="45" w:name="OLE_LINK66"/>
            <w:r>
              <w:rPr>
                <w:bCs/>
                <w:sz w:val="24"/>
              </w:rPr>
              <w:t>授权美日欧发明专利</w:t>
            </w:r>
            <w:bookmarkEnd w:id="44"/>
            <w:bookmarkEnd w:id="45"/>
          </w:p>
        </w:tc>
        <w:tc>
          <w:tcPr>
            <w:tcW w:w="101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hd w:val="pct10" w:color="auto" w:fill="FFFFFF"/>
              </w:rPr>
            </w:pPr>
            <w:r>
              <w:rPr>
                <w:bCs/>
                <w:sz w:val="24"/>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trPr>
        <w:tc>
          <w:tcPr>
            <w:tcW w:w="92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2-3-2</w:t>
            </w:r>
          </w:p>
        </w:tc>
        <w:tc>
          <w:tcPr>
            <w:tcW w:w="306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bCs/>
                <w:sz w:val="24"/>
              </w:rPr>
            </w:pPr>
            <w:r>
              <w:rPr>
                <w:bCs/>
                <w:sz w:val="24"/>
              </w:rPr>
              <w:t>授权其他国家（地区）发明专利</w:t>
            </w:r>
            <w:r>
              <w:rPr>
                <w:sz w:val="24"/>
              </w:rPr>
              <w:t>、</w:t>
            </w:r>
            <w:r>
              <w:rPr>
                <w:bCs/>
                <w:sz w:val="24"/>
              </w:rPr>
              <w:t>植物新品种权</w:t>
            </w:r>
          </w:p>
        </w:tc>
        <w:tc>
          <w:tcPr>
            <w:tcW w:w="101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trPr>
        <w:tc>
          <w:tcPr>
            <w:tcW w:w="92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2-3-3</w:t>
            </w:r>
          </w:p>
        </w:tc>
        <w:tc>
          <w:tcPr>
            <w:tcW w:w="306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bCs/>
                <w:sz w:val="24"/>
              </w:rPr>
            </w:pPr>
            <w:r>
              <w:rPr>
                <w:bCs/>
                <w:sz w:val="24"/>
              </w:rPr>
              <w:t>授权实用新型专利、授权外观设计专利</w:t>
            </w:r>
          </w:p>
        </w:tc>
        <w:tc>
          <w:tcPr>
            <w:tcW w:w="101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trPr>
        <w:tc>
          <w:tcPr>
            <w:tcW w:w="92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2-3-4</w:t>
            </w:r>
          </w:p>
        </w:tc>
        <w:tc>
          <w:tcPr>
            <w:tcW w:w="306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bCs/>
                <w:sz w:val="24"/>
              </w:rPr>
            </w:pPr>
            <w:r>
              <w:rPr>
                <w:bCs/>
                <w:sz w:val="24"/>
              </w:rPr>
              <w:t>计算机软件著作权登记、集成电路布图设计登记</w:t>
            </w:r>
          </w:p>
        </w:tc>
        <w:tc>
          <w:tcPr>
            <w:tcW w:w="101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10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19"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bookmarkStart w:id="46" w:name="OLE_LINK72"/>
      <w:bookmarkStart w:id="47" w:name="OLE_LINK73"/>
      <w:r>
        <w:rPr>
          <w:rFonts w:hint="eastAsia" w:ascii="仿宋_GB2312" w:hAnsi="仿宋_GB2312" w:eastAsia="仿宋_GB2312" w:cs="仿宋_GB2312"/>
          <w:bCs/>
          <w:szCs w:val="32"/>
        </w:rPr>
        <w:t>（1）我校为第一权利权人，第一发明人（完成人）为我校教职工的按全额计分；若知识产权与企业共有，我校为第二权利人，第一发明人（完成人）是我校教职工的按50%计分。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（2）师生共同署名，以学生为第一发明人（完成人）获得的知识产权，排名最前的教师视同第一发明人（完成人）。</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（3）授权实用新型专利、外观设计专利和计算机软件著作权登记、集成电路布图设计登记，每个发明人（完成人）每年三类合计最多按5件计分。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黑体" w:hAnsi="黑体" w:eastAsia="黑体" w:cs="黑体"/>
          <w:bCs/>
          <w:szCs w:val="32"/>
        </w:rPr>
      </w:pPr>
      <w:r>
        <w:rPr>
          <w:rFonts w:hint="eastAsia" w:ascii="黑体" w:hAnsi="黑体" w:eastAsia="黑体" w:cs="黑体"/>
          <w:bCs/>
          <w:szCs w:val="32"/>
          <w:lang w:val="en-US" w:eastAsia="zh-CN"/>
        </w:rPr>
        <w:t>三、</w:t>
      </w:r>
      <w:r>
        <w:rPr>
          <w:rFonts w:hint="eastAsia" w:ascii="黑体" w:hAnsi="黑体" w:eastAsia="黑体" w:cs="黑体"/>
          <w:bCs/>
          <w:szCs w:val="32"/>
        </w:rPr>
        <w:t>科研获奖</w:t>
      </w:r>
      <w:bookmarkEnd w:id="46"/>
      <w:bookmarkEnd w:id="47"/>
      <w:r>
        <w:rPr>
          <w:rFonts w:hint="eastAsia" w:ascii="黑体" w:hAnsi="黑体" w:eastAsia="黑体" w:cs="黑体"/>
          <w:bCs/>
          <w:szCs w:val="32"/>
        </w:rPr>
        <w:t>（M</w:t>
      </w:r>
      <w:r>
        <w:rPr>
          <w:rFonts w:hint="eastAsia" w:ascii="黑体" w:hAnsi="黑体" w:eastAsia="黑体" w:cs="黑体"/>
          <w:bCs/>
          <w:szCs w:val="32"/>
          <w:vertAlign w:val="subscript"/>
        </w:rPr>
        <w:t>3</w:t>
      </w:r>
      <w:r>
        <w:rPr>
          <w:rFonts w:hint="eastAsia" w:ascii="黑体" w:hAnsi="黑体" w:eastAsia="黑体" w:cs="黑体"/>
          <w:bCs/>
          <w:szCs w:val="32"/>
        </w:rPr>
        <w:t>）</w:t>
      </w:r>
    </w:p>
    <w:tbl>
      <w:tblPr>
        <w:tblStyle w:val="4"/>
        <w:tblW w:w="499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593"/>
        <w:gridCol w:w="4796"/>
        <w:gridCol w:w="876"/>
        <w:gridCol w:w="876"/>
        <w:gridCol w:w="876"/>
        <w:gridCol w:w="8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2" w:hRule="atLeast"/>
          <w:tblHeader/>
          <w:jc w:val="center"/>
        </w:trPr>
        <w:tc>
          <w:tcPr>
            <w:tcW w:w="334" w:type="pct"/>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
                <w:sz w:val="24"/>
                <w:szCs w:val="24"/>
              </w:rPr>
            </w:pPr>
            <w:r>
              <w:rPr>
                <w:b/>
                <w:sz w:val="24"/>
                <w:szCs w:val="24"/>
              </w:rPr>
              <w:t>代码</w:t>
            </w:r>
          </w:p>
        </w:tc>
        <w:tc>
          <w:tcPr>
            <w:tcW w:w="269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
                <w:sz w:val="24"/>
                <w:szCs w:val="24"/>
              </w:rPr>
            </w:pPr>
            <w:r>
              <w:rPr>
                <w:b/>
                <w:sz w:val="24"/>
                <w:szCs w:val="24"/>
              </w:rPr>
              <w:t>获奖类别</w:t>
            </w:r>
          </w:p>
        </w:tc>
        <w:tc>
          <w:tcPr>
            <w:tcW w:w="1970"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
                <w:sz w:val="24"/>
                <w:szCs w:val="24"/>
              </w:rPr>
            </w:pPr>
            <w:r>
              <w:rPr>
                <w:b/>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334"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
                <w:sz w:val="24"/>
                <w:szCs w:val="24"/>
              </w:rPr>
            </w:pPr>
          </w:p>
        </w:tc>
        <w:tc>
          <w:tcPr>
            <w:tcW w:w="2695"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
                <w:sz w:val="24"/>
                <w:szCs w:val="24"/>
              </w:rPr>
            </w:pP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ascii="Times New Roman" w:hAnsi="Times New Roman" w:eastAsia="仿宋_GB2312" w:cs="Times New Roman"/>
                <w:b/>
                <w:spacing w:val="-6"/>
                <w:kern w:val="2"/>
                <w:sz w:val="24"/>
                <w:szCs w:val="24"/>
                <w:lang w:val="en-US" w:eastAsia="zh-CN" w:bidi="ar-SA"/>
              </w:rPr>
            </w:pPr>
            <w:r>
              <w:rPr>
                <w:b/>
                <w:sz w:val="24"/>
                <w:szCs w:val="24"/>
              </w:rPr>
              <w:t>特等奖</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ascii="Times New Roman" w:hAnsi="Times New Roman" w:eastAsia="仿宋_GB2312" w:cs="Times New Roman"/>
                <w:b/>
                <w:spacing w:val="-6"/>
                <w:kern w:val="2"/>
                <w:sz w:val="24"/>
                <w:szCs w:val="24"/>
                <w:lang w:val="en-US" w:eastAsia="zh-CN" w:bidi="ar-SA"/>
              </w:rPr>
            </w:pPr>
            <w:r>
              <w:rPr>
                <w:b/>
                <w:sz w:val="24"/>
                <w:szCs w:val="24"/>
              </w:rPr>
              <w:t>一等奖</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ascii="Times New Roman" w:hAnsi="Times New Roman" w:eastAsia="仿宋_GB2312" w:cs="Times New Roman"/>
                <w:b/>
                <w:spacing w:val="-6"/>
                <w:kern w:val="2"/>
                <w:sz w:val="24"/>
                <w:szCs w:val="24"/>
                <w:lang w:val="en-US" w:eastAsia="zh-CN" w:bidi="ar-SA"/>
              </w:rPr>
            </w:pPr>
            <w:r>
              <w:rPr>
                <w:b/>
                <w:sz w:val="24"/>
                <w:szCs w:val="24"/>
              </w:rPr>
              <w:t>二等奖</w:t>
            </w:r>
          </w:p>
        </w:tc>
        <w:tc>
          <w:tcPr>
            <w:tcW w:w="493"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ascii="Times New Roman" w:hAnsi="Times New Roman" w:eastAsia="仿宋_GB2312" w:cs="Times New Roman"/>
                <w:b/>
                <w:spacing w:val="-6"/>
                <w:kern w:val="2"/>
                <w:sz w:val="24"/>
                <w:szCs w:val="24"/>
                <w:lang w:val="en-US" w:eastAsia="zh-CN" w:bidi="ar-SA"/>
              </w:rPr>
            </w:pPr>
            <w:r>
              <w:rPr>
                <w:b/>
                <w:sz w:val="24"/>
                <w:szCs w:val="24"/>
              </w:rPr>
              <w:t>三等奖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334"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3-1</w:t>
            </w:r>
          </w:p>
        </w:tc>
        <w:tc>
          <w:tcPr>
            <w:tcW w:w="2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bCs/>
                <w:sz w:val="24"/>
                <w:szCs w:val="24"/>
              </w:rPr>
            </w:pPr>
            <w:r>
              <w:rPr>
                <w:bCs/>
                <w:sz w:val="24"/>
                <w:szCs w:val="24"/>
              </w:rPr>
              <w:t>国家自然科学奖</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50000</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20000</w:t>
            </w:r>
          </w:p>
        </w:tc>
        <w:tc>
          <w:tcPr>
            <w:tcW w:w="493"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334"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3-2</w:t>
            </w:r>
          </w:p>
        </w:tc>
        <w:tc>
          <w:tcPr>
            <w:tcW w:w="2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bCs/>
                <w:sz w:val="24"/>
                <w:szCs w:val="24"/>
              </w:rPr>
            </w:pPr>
            <w:r>
              <w:rPr>
                <w:bCs/>
                <w:sz w:val="24"/>
                <w:szCs w:val="24"/>
              </w:rPr>
              <w:t>国家科技进步奖、国家技术发明奖</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60000</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30000</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10000</w:t>
            </w:r>
          </w:p>
        </w:tc>
        <w:tc>
          <w:tcPr>
            <w:tcW w:w="493"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jc w:val="center"/>
        </w:trPr>
        <w:tc>
          <w:tcPr>
            <w:tcW w:w="334"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3-3</w:t>
            </w:r>
          </w:p>
        </w:tc>
        <w:tc>
          <w:tcPr>
            <w:tcW w:w="2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bCs/>
                <w:sz w:val="24"/>
                <w:szCs w:val="24"/>
              </w:rPr>
            </w:pPr>
            <w:r>
              <w:rPr>
                <w:bCs/>
                <w:sz w:val="24"/>
                <w:szCs w:val="24"/>
              </w:rPr>
              <w:t>教育部高等学校科学研究优秀成果奖（人文社会科学、科学技术）</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10000</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5000</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2000</w:t>
            </w:r>
          </w:p>
        </w:tc>
        <w:tc>
          <w:tcPr>
            <w:tcW w:w="493"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334"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3-4</w:t>
            </w:r>
          </w:p>
        </w:tc>
        <w:tc>
          <w:tcPr>
            <w:tcW w:w="2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bCs/>
                <w:sz w:val="24"/>
                <w:szCs w:val="24"/>
              </w:rPr>
            </w:pPr>
            <w:r>
              <w:rPr>
                <w:bCs/>
                <w:sz w:val="24"/>
                <w:szCs w:val="24"/>
              </w:rPr>
              <w:t>省自然科学奖、技术发明奖、科学技术进步奖</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2000</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1000</w:t>
            </w:r>
          </w:p>
        </w:tc>
        <w:tc>
          <w:tcPr>
            <w:tcW w:w="493"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5" w:hRule="atLeast"/>
          <w:jc w:val="center"/>
        </w:trPr>
        <w:tc>
          <w:tcPr>
            <w:tcW w:w="334"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3-5</w:t>
            </w:r>
          </w:p>
        </w:tc>
        <w:tc>
          <w:tcPr>
            <w:tcW w:w="2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bCs/>
                <w:sz w:val="24"/>
                <w:szCs w:val="24"/>
              </w:rPr>
            </w:pPr>
            <w:r>
              <w:rPr>
                <w:bCs/>
                <w:sz w:val="24"/>
                <w:szCs w:val="24"/>
              </w:rPr>
              <w:t>省哲社优秀成果奖、全国教育科学研究优秀成果奖</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1500</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800</w:t>
            </w:r>
          </w:p>
        </w:tc>
        <w:tc>
          <w:tcPr>
            <w:tcW w:w="493"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jc w:val="center"/>
        </w:trPr>
        <w:tc>
          <w:tcPr>
            <w:tcW w:w="334"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3-6</w:t>
            </w:r>
          </w:p>
        </w:tc>
        <w:tc>
          <w:tcPr>
            <w:tcW w:w="2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bCs/>
                <w:spacing w:val="0"/>
                <w:sz w:val="24"/>
                <w:szCs w:val="24"/>
              </w:rPr>
            </w:pPr>
            <w:r>
              <w:rPr>
                <w:bCs/>
                <w:spacing w:val="0"/>
                <w:sz w:val="24"/>
                <w:szCs w:val="24"/>
              </w:rPr>
              <w:t>厅局级科研成果奖（含省教科规划优秀成果奖、省基础教育优秀科研成果奖）</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80</w:t>
            </w:r>
          </w:p>
        </w:tc>
        <w:tc>
          <w:tcPr>
            <w:tcW w:w="49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40</w:t>
            </w:r>
          </w:p>
        </w:tc>
        <w:tc>
          <w:tcPr>
            <w:tcW w:w="493"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20</w:t>
            </w:r>
          </w:p>
        </w:tc>
      </w:tr>
    </w:tbl>
    <w:p>
      <w:pPr>
        <w:keepNext w:val="0"/>
        <w:keepLines w:val="0"/>
        <w:pageBreakBefore w:val="0"/>
        <w:widowControl w:val="0"/>
        <w:kinsoku/>
        <w:wordWrap/>
        <w:overflowPunct/>
        <w:topLinePunct w:val="0"/>
        <w:autoSpaceDE/>
        <w:autoSpaceDN/>
        <w:bidi w:val="0"/>
        <w:adjustRightInd w:val="0"/>
        <w:snapToGrid w:val="0"/>
        <w:spacing w:line="572" w:lineRule="exact"/>
        <w:ind w:firstLine="619"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（1）获奖成果需以我校名义并通过科学研究院进行申报（除本类别（7）外）。</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（2）同一成果在本省获多种奖励时，按就高原则计分。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3）国家级国际科学技术合作奖计2000分；教育部高等学校科学研究优秀成果奖青年科学奖计2000分；教育部高等学校科学研究优秀成果奖普及奖计2000分；浙江科技大奖计10000分；浙江省国际科学技术合作奖计800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（4）经科技部认定的具有国家奖提名资格的全国学会、行业协会（联合会）以及其他组织机构设立的社会力量奖视为省级奖，参照M</w:t>
      </w:r>
      <w:r>
        <w:rPr>
          <w:rFonts w:hint="eastAsia" w:ascii="仿宋_GB2312" w:hAnsi="仿宋_GB2312" w:eastAsia="仿宋_GB2312" w:cs="仿宋_GB2312"/>
          <w:bCs/>
          <w:szCs w:val="32"/>
          <w:vertAlign w:val="subscript"/>
        </w:rPr>
        <w:t>3-4</w:t>
      </w:r>
      <w:r>
        <w:rPr>
          <w:rFonts w:hint="eastAsia" w:ascii="仿宋_GB2312" w:hAnsi="仿宋_GB2312" w:eastAsia="仿宋_GB2312" w:cs="仿宋_GB2312"/>
          <w:bCs/>
          <w:szCs w:val="32"/>
        </w:rPr>
        <w:t>计分；获得经科技部登记备案的其他社会力量设立的奖项，中国出版政府奖，中国优秀图书奖和由科学研究院组织申报的其他部委科研成果奖（盖部委公章）视为省级奖，参照M</w:t>
      </w:r>
      <w:r>
        <w:rPr>
          <w:rFonts w:hint="eastAsia" w:ascii="仿宋_GB2312" w:hAnsi="仿宋_GB2312" w:eastAsia="仿宋_GB2312" w:cs="仿宋_GB2312"/>
          <w:bCs/>
          <w:szCs w:val="32"/>
          <w:vertAlign w:val="subscript"/>
        </w:rPr>
        <w:t>3-5</w:t>
      </w:r>
      <w:r>
        <w:rPr>
          <w:rFonts w:hint="eastAsia" w:ascii="仿宋_GB2312" w:hAnsi="仿宋_GB2312" w:eastAsia="仿宋_GB2312" w:cs="仿宋_GB2312"/>
          <w:bCs/>
          <w:szCs w:val="32"/>
        </w:rPr>
        <w:t>计分。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（5）中国专利奖金奖（含中国外观设计金奖）、优秀奖（含外观设计优秀奖）分别计1500分和500分；省级专利奖金奖、优秀奖分别计500分和200分。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（6）市级社会科学优秀成果奖参照M</w:t>
      </w:r>
      <w:r>
        <w:rPr>
          <w:rFonts w:hint="eastAsia" w:ascii="仿宋_GB2312" w:hAnsi="仿宋_GB2312" w:eastAsia="仿宋_GB2312" w:cs="仿宋_GB2312"/>
          <w:bCs/>
          <w:szCs w:val="32"/>
          <w:vertAlign w:val="subscript"/>
        </w:rPr>
        <w:t>3-6</w:t>
      </w:r>
      <w:r>
        <w:rPr>
          <w:rFonts w:hint="eastAsia" w:ascii="仿宋_GB2312" w:hAnsi="仿宋_GB2312" w:eastAsia="仿宋_GB2312" w:cs="仿宋_GB2312"/>
          <w:bCs/>
          <w:szCs w:val="32"/>
        </w:rPr>
        <w:t>减半计分，。</w:t>
      </w:r>
    </w:p>
    <w:p>
      <w:pPr>
        <w:keepNext w:val="0"/>
        <w:keepLines w:val="0"/>
        <w:pageBreakBefore w:val="0"/>
        <w:widowControl w:val="0"/>
        <w:kinsoku/>
        <w:wordWrap/>
        <w:overflowPunct/>
        <w:topLinePunct w:val="0"/>
        <w:autoSpaceDE/>
        <w:autoSpaceDN/>
        <w:bidi w:val="0"/>
        <w:adjustRightInd w:val="0"/>
        <w:snapToGrid w:val="0"/>
        <w:spacing w:line="572"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7）我校为非第一完成单位获得的国家级科研成果奖励，第二完成单位按50%计分，第三完成单位及以后均按前一个完成单位的50%计分；省部级科研成果奖励，第二完成单位按30%计分，第三完成单位及以后均按前一个完成单位的50%计分；厅局级科研成果奖不计分也。</w:t>
      </w:r>
    </w:p>
    <w:p>
      <w:pPr>
        <w:adjustRightInd w:val="0"/>
        <w:snapToGrid w:val="0"/>
        <w:spacing w:line="560" w:lineRule="exact"/>
        <w:ind w:firstLine="616" w:firstLineChars="200"/>
        <w:rPr>
          <w:rFonts w:hint="eastAsia" w:ascii="黑体" w:hAnsi="黑体" w:eastAsia="黑体" w:cs="黑体"/>
          <w:bCs/>
          <w:szCs w:val="32"/>
        </w:rPr>
      </w:pPr>
      <w:bookmarkStart w:id="48" w:name="OLE_LINK81"/>
      <w:bookmarkStart w:id="49" w:name="OLE_LINK80"/>
      <w:r>
        <w:rPr>
          <w:rFonts w:hint="eastAsia" w:ascii="黑体" w:hAnsi="黑体" w:eastAsia="黑体" w:cs="黑体"/>
          <w:bCs/>
          <w:szCs w:val="32"/>
          <w:lang w:val="en-US" w:eastAsia="zh-CN"/>
        </w:rPr>
        <w:t>四、</w:t>
      </w:r>
      <w:r>
        <w:rPr>
          <w:rFonts w:hint="eastAsia" w:ascii="黑体" w:hAnsi="黑体" w:eastAsia="黑体" w:cs="黑体"/>
          <w:bCs/>
          <w:szCs w:val="32"/>
        </w:rPr>
        <w:t>社会服务</w:t>
      </w:r>
      <w:bookmarkEnd w:id="48"/>
      <w:bookmarkEnd w:id="49"/>
      <w:r>
        <w:rPr>
          <w:rFonts w:hint="eastAsia" w:ascii="黑体" w:hAnsi="黑体" w:eastAsia="黑体" w:cs="黑体"/>
          <w:bCs/>
          <w:szCs w:val="32"/>
        </w:rPr>
        <w:t>（M</w:t>
      </w:r>
      <w:r>
        <w:rPr>
          <w:rFonts w:hint="eastAsia" w:ascii="黑体" w:hAnsi="黑体" w:eastAsia="黑体" w:cs="黑体"/>
          <w:bCs/>
          <w:szCs w:val="32"/>
          <w:vertAlign w:val="subscript"/>
        </w:rPr>
        <w:t>4</w:t>
      </w:r>
      <w:r>
        <w:rPr>
          <w:rFonts w:hint="eastAsia" w:ascii="黑体" w:hAnsi="黑体" w:eastAsia="黑体" w:cs="黑体"/>
          <w:bCs/>
          <w:szCs w:val="32"/>
        </w:rPr>
        <w:t>）</w:t>
      </w:r>
    </w:p>
    <w:p>
      <w:pPr>
        <w:adjustRightInd w:val="0"/>
        <w:snapToGrid w:val="0"/>
        <w:spacing w:line="560" w:lineRule="exact"/>
        <w:ind w:firstLine="616" w:firstLineChars="200"/>
        <w:rPr>
          <w:rFonts w:hint="eastAsia" w:ascii="楷体_GB2312" w:hAnsi="楷体_GB2312" w:eastAsia="楷体_GB2312" w:cs="楷体_GB2312"/>
          <w:bCs/>
          <w:szCs w:val="32"/>
        </w:rPr>
      </w:pPr>
      <w:bookmarkStart w:id="50" w:name="OLE_LINK82"/>
      <w:bookmarkStart w:id="51" w:name="OLE_LINK79"/>
      <w:bookmarkStart w:id="52" w:name="OLE_LINK78"/>
      <w:r>
        <w:rPr>
          <w:rFonts w:hint="eastAsia" w:ascii="楷体_GB2312" w:hAnsi="楷体_GB2312" w:eastAsia="楷体_GB2312" w:cs="楷体_GB2312"/>
          <w:bCs/>
          <w:szCs w:val="32"/>
        </w:rPr>
        <w:t>1．成果转化（M</w:t>
      </w:r>
      <w:r>
        <w:rPr>
          <w:rFonts w:hint="eastAsia" w:ascii="楷体_GB2312" w:hAnsi="楷体_GB2312" w:eastAsia="楷体_GB2312" w:cs="楷体_GB2312"/>
          <w:bCs/>
          <w:szCs w:val="32"/>
          <w:vertAlign w:val="subscript"/>
        </w:rPr>
        <w:t>4-1</w:t>
      </w:r>
      <w:r>
        <w:rPr>
          <w:rFonts w:hint="eastAsia" w:ascii="楷体_GB2312" w:hAnsi="楷体_GB2312" w:eastAsia="楷体_GB2312" w:cs="楷体_GB2312"/>
          <w:bCs/>
          <w:szCs w:val="32"/>
        </w:rPr>
        <w:t>）</w:t>
      </w:r>
      <w:bookmarkEnd w:id="50"/>
      <w:bookmarkEnd w:id="51"/>
      <w:bookmarkEnd w:id="52"/>
    </w:p>
    <w:p>
      <w:pPr>
        <w:adjustRightInd w:val="0"/>
        <w:snapToGrid w:val="0"/>
        <w:spacing w:line="560" w:lineRule="exact"/>
        <w:ind w:firstLine="616" w:firstLineChars="200"/>
        <w:rPr>
          <w:rFonts w:hint="eastAsia" w:ascii="仿宋_GB2312" w:hAnsi="仿宋_GB2312" w:eastAsia="仿宋_GB2312" w:cs="仿宋_GB2312"/>
          <w:bCs/>
          <w:szCs w:val="32"/>
        </w:rPr>
      </w:pPr>
      <w:r>
        <w:rPr>
          <w:rFonts w:hint="eastAsia" w:ascii="仿宋_GB2312" w:hAnsi="仿宋_GB2312" w:eastAsia="仿宋_GB2312" w:cs="仿宋_GB2312"/>
          <w:bCs/>
          <w:szCs w:val="32"/>
        </w:rPr>
        <w:t>科研成果转化业绩按照成果转化的实际收益额（不含政府奖励部分），参照横向科研项目业绩（M</w:t>
      </w:r>
      <w:r>
        <w:rPr>
          <w:rFonts w:hint="eastAsia" w:ascii="仿宋_GB2312" w:hAnsi="仿宋_GB2312" w:eastAsia="仿宋_GB2312" w:cs="仿宋_GB2312"/>
          <w:bCs/>
          <w:szCs w:val="32"/>
          <w:vertAlign w:val="subscript"/>
        </w:rPr>
        <w:t>1-2</w:t>
      </w:r>
      <w:r>
        <w:rPr>
          <w:rFonts w:hint="eastAsia" w:ascii="仿宋_GB2312" w:hAnsi="仿宋_GB2312" w:eastAsia="仿宋_GB2312" w:cs="仿宋_GB2312"/>
          <w:bCs/>
          <w:szCs w:val="32"/>
        </w:rPr>
        <w:t>）计分标准计分，但。</w:t>
      </w:r>
    </w:p>
    <w:p>
      <w:pPr>
        <w:adjustRightInd w:val="0"/>
        <w:snapToGrid w:val="0"/>
        <w:spacing w:line="560" w:lineRule="exact"/>
        <w:ind w:firstLine="616" w:firstLineChars="200"/>
        <w:rPr>
          <w:rFonts w:hint="eastAsia" w:ascii="楷体_GB2312" w:hAnsi="楷体_GB2312" w:eastAsia="楷体_GB2312" w:cs="楷体_GB2312"/>
          <w:bCs/>
          <w:szCs w:val="32"/>
        </w:rPr>
      </w:pPr>
      <w:bookmarkStart w:id="53" w:name="OLE_LINK83"/>
      <w:bookmarkStart w:id="54" w:name="OLE_LINK84"/>
      <w:r>
        <w:rPr>
          <w:rFonts w:hint="eastAsia" w:ascii="楷体_GB2312" w:hAnsi="楷体_GB2312" w:eastAsia="楷体_GB2312" w:cs="楷体_GB2312"/>
          <w:bCs/>
          <w:szCs w:val="32"/>
        </w:rPr>
        <w:t>2．标准编制</w:t>
      </w:r>
      <w:bookmarkStart w:id="55" w:name="OLE_LINK76"/>
      <w:bookmarkStart w:id="56" w:name="OLE_LINK77"/>
      <w:r>
        <w:rPr>
          <w:rFonts w:hint="eastAsia" w:ascii="楷体_GB2312" w:hAnsi="楷体_GB2312" w:eastAsia="楷体_GB2312" w:cs="楷体_GB2312"/>
          <w:bCs/>
          <w:szCs w:val="32"/>
        </w:rPr>
        <w:t>（M</w:t>
      </w:r>
      <w:r>
        <w:rPr>
          <w:rFonts w:hint="eastAsia" w:ascii="楷体_GB2312" w:hAnsi="楷体_GB2312" w:eastAsia="楷体_GB2312" w:cs="楷体_GB2312"/>
          <w:bCs/>
          <w:szCs w:val="32"/>
          <w:vertAlign w:val="subscript"/>
        </w:rPr>
        <w:t>4-2</w:t>
      </w:r>
      <w:r>
        <w:rPr>
          <w:rFonts w:hint="eastAsia" w:ascii="楷体_GB2312" w:hAnsi="楷体_GB2312" w:eastAsia="楷体_GB2312" w:cs="楷体_GB2312"/>
          <w:bCs/>
          <w:szCs w:val="32"/>
        </w:rPr>
        <w:t>）</w:t>
      </w:r>
      <w:bookmarkEnd w:id="53"/>
      <w:bookmarkEnd w:id="54"/>
      <w:bookmarkEnd w:id="55"/>
      <w:bookmarkEnd w:id="56"/>
    </w:p>
    <w:tbl>
      <w:tblPr>
        <w:tblStyle w:val="4"/>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2455"/>
        <w:gridCol w:w="4224"/>
        <w:gridCol w:w="22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blHeader/>
        </w:trPr>
        <w:tc>
          <w:tcPr>
            <w:tcW w:w="1379"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代码</w:t>
            </w:r>
          </w:p>
        </w:tc>
        <w:tc>
          <w:tcPr>
            <w:tcW w:w="23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类别</w:t>
            </w:r>
          </w:p>
        </w:tc>
        <w:tc>
          <w:tcPr>
            <w:tcW w:w="1246"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79"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4-2-1</w:t>
            </w:r>
          </w:p>
        </w:tc>
        <w:tc>
          <w:tcPr>
            <w:tcW w:w="23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国家标准</w:t>
            </w:r>
          </w:p>
        </w:tc>
        <w:tc>
          <w:tcPr>
            <w:tcW w:w="1246"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rFonts w:hint="eastAsia"/>
                <w:bCs/>
                <w:sz w:val="24"/>
              </w:rPr>
              <w:t>10</w:t>
            </w:r>
            <w:r>
              <w:rPr>
                <w:bCs/>
                <w:sz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79"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4-2-2</w:t>
            </w:r>
          </w:p>
        </w:tc>
        <w:tc>
          <w:tcPr>
            <w:tcW w:w="23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行业标准</w:t>
            </w:r>
          </w:p>
        </w:tc>
        <w:tc>
          <w:tcPr>
            <w:tcW w:w="1246"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rFonts w:hint="eastAsia"/>
                <w:bCs/>
                <w:sz w:val="24"/>
              </w:rPr>
              <w:t>5</w:t>
            </w:r>
            <w:r>
              <w:rPr>
                <w:bCs/>
                <w:sz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79"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4-2-3</w:t>
            </w:r>
          </w:p>
        </w:tc>
        <w:tc>
          <w:tcPr>
            <w:tcW w:w="23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bCs/>
                <w:sz w:val="24"/>
              </w:rPr>
            </w:pPr>
            <w:r>
              <w:rPr>
                <w:bCs/>
                <w:sz w:val="24"/>
              </w:rPr>
              <w:t>地方标准</w:t>
            </w:r>
            <w:r>
              <w:rPr>
                <w:rFonts w:hint="eastAsia"/>
                <w:bCs/>
                <w:sz w:val="24"/>
              </w:rPr>
              <w:t>（</w:t>
            </w:r>
            <w:r>
              <w:rPr>
                <w:bCs/>
                <w:sz w:val="24"/>
              </w:rPr>
              <w:t>省级</w:t>
            </w:r>
            <w:r>
              <w:rPr>
                <w:rFonts w:hint="eastAsia"/>
                <w:bCs/>
                <w:sz w:val="24"/>
              </w:rPr>
              <w:t>）</w:t>
            </w:r>
          </w:p>
        </w:tc>
        <w:tc>
          <w:tcPr>
            <w:tcW w:w="1246"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rFonts w:hint="eastAsia"/>
                <w:bCs/>
                <w:sz w:val="24"/>
              </w:rPr>
              <w:t>2</w:t>
            </w:r>
            <w:r>
              <w:rPr>
                <w:bCs/>
                <w:sz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79"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4-2-4</w:t>
            </w:r>
          </w:p>
        </w:tc>
        <w:tc>
          <w:tcPr>
            <w:tcW w:w="23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bCs/>
                <w:sz w:val="24"/>
              </w:rPr>
            </w:pPr>
            <w:r>
              <w:rPr>
                <w:bCs/>
                <w:sz w:val="24"/>
              </w:rPr>
              <w:t>地方标准</w:t>
            </w:r>
            <w:r>
              <w:rPr>
                <w:rFonts w:hint="eastAsia"/>
                <w:bCs/>
                <w:sz w:val="24"/>
              </w:rPr>
              <w:t>（</w:t>
            </w:r>
            <w:r>
              <w:rPr>
                <w:bCs/>
                <w:sz w:val="24"/>
              </w:rPr>
              <w:t>市地级</w:t>
            </w:r>
            <w:r>
              <w:rPr>
                <w:rFonts w:hint="eastAsia"/>
                <w:bCs/>
                <w:sz w:val="24"/>
              </w:rPr>
              <w:t>）</w:t>
            </w:r>
          </w:p>
        </w:tc>
        <w:tc>
          <w:tcPr>
            <w:tcW w:w="1246"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rFonts w:hint="eastAsia"/>
                <w:bCs/>
                <w:sz w:val="24"/>
              </w:rPr>
              <w:t>10</w:t>
            </w:r>
            <w:r>
              <w:rPr>
                <w:bCs/>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79"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4-2-5</w:t>
            </w:r>
          </w:p>
        </w:tc>
        <w:tc>
          <w:tcPr>
            <w:tcW w:w="23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bCs/>
                <w:sz w:val="24"/>
              </w:rPr>
            </w:pPr>
            <w:r>
              <w:rPr>
                <w:rFonts w:hint="eastAsia"/>
                <w:bCs/>
                <w:sz w:val="24"/>
              </w:rPr>
              <w:t>团体标准</w:t>
            </w:r>
          </w:p>
        </w:tc>
        <w:tc>
          <w:tcPr>
            <w:tcW w:w="1246"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rFonts w:hint="eastAsia"/>
                <w:bCs/>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79"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bCs/>
                <w:sz w:val="24"/>
              </w:rPr>
            </w:pPr>
            <w:r>
              <w:rPr>
                <w:bCs/>
                <w:sz w:val="24"/>
              </w:rPr>
              <w:t>M</w:t>
            </w:r>
            <w:r>
              <w:rPr>
                <w:bCs/>
                <w:sz w:val="24"/>
                <w:vertAlign w:val="subscript"/>
              </w:rPr>
              <w:t>4-2-</w:t>
            </w:r>
            <w:r>
              <w:rPr>
                <w:rFonts w:hint="eastAsia"/>
                <w:bCs/>
                <w:sz w:val="24"/>
                <w:vertAlign w:val="subscript"/>
              </w:rPr>
              <w:t>6</w:t>
            </w:r>
          </w:p>
        </w:tc>
        <w:tc>
          <w:tcPr>
            <w:tcW w:w="23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企业标准</w:t>
            </w:r>
          </w:p>
        </w:tc>
        <w:tc>
          <w:tcPr>
            <w:tcW w:w="1246"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rFonts w:hint="eastAsia"/>
                <w:bCs/>
                <w:sz w:val="24"/>
              </w:rPr>
              <w:t>10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19" w:firstLineChars="200"/>
        <w:textAlignment w:val="auto"/>
        <w:rPr>
          <w:b/>
          <w:bCs w:val="0"/>
          <w:szCs w:val="32"/>
        </w:rPr>
      </w:pPr>
      <w:r>
        <w:rPr>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我校为第一起草单位主持编写的按全额计分，我校参与编写的按30%计分。</w:t>
      </w:r>
      <w:bookmarkStart w:id="57" w:name="OLE_LINK88"/>
      <w:bookmarkStart w:id="58" w:name="OLE_LINK89"/>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楷体_GB2312" w:hAnsi="楷体_GB2312" w:eastAsia="楷体_GB2312" w:cs="楷体_GB2312"/>
          <w:bCs/>
          <w:szCs w:val="32"/>
        </w:rPr>
      </w:pPr>
      <w:r>
        <w:rPr>
          <w:rFonts w:hint="eastAsia" w:ascii="楷体_GB2312" w:hAnsi="楷体_GB2312" w:eastAsia="楷体_GB2312" w:cs="楷体_GB2312"/>
          <w:bCs/>
          <w:szCs w:val="32"/>
        </w:rPr>
        <w:t>3．决策咨询（M</w:t>
      </w:r>
      <w:r>
        <w:rPr>
          <w:rFonts w:hint="eastAsia" w:ascii="楷体_GB2312" w:hAnsi="楷体_GB2312" w:eastAsia="楷体_GB2312" w:cs="楷体_GB2312"/>
          <w:bCs/>
          <w:szCs w:val="32"/>
          <w:vertAlign w:val="subscript"/>
        </w:rPr>
        <w:t>4-3</w:t>
      </w:r>
      <w:r>
        <w:rPr>
          <w:rFonts w:hint="eastAsia" w:ascii="楷体_GB2312" w:hAnsi="楷体_GB2312" w:eastAsia="楷体_GB2312" w:cs="楷体_GB2312"/>
          <w:bCs/>
          <w:szCs w:val="32"/>
        </w:rPr>
        <w:t>）</w:t>
      </w:r>
      <w:bookmarkEnd w:id="57"/>
      <w:bookmarkEnd w:id="58"/>
    </w:p>
    <w:tbl>
      <w:tblPr>
        <w:tblStyle w:val="4"/>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826"/>
        <w:gridCol w:w="952"/>
        <w:gridCol w:w="6129"/>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24" w:hRule="atLeast"/>
          <w:tblHeader/>
        </w:trPr>
        <w:tc>
          <w:tcPr>
            <w:tcW w:w="464"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类别</w:t>
            </w:r>
          </w:p>
        </w:tc>
        <w:tc>
          <w:tcPr>
            <w:tcW w:w="53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代码</w:t>
            </w:r>
          </w:p>
        </w:tc>
        <w:tc>
          <w:tcPr>
            <w:tcW w:w="344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内  涵</w:t>
            </w:r>
          </w:p>
        </w:tc>
        <w:tc>
          <w:tcPr>
            <w:tcW w:w="556"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624" w:hRule="atLeast"/>
        </w:trPr>
        <w:tc>
          <w:tcPr>
            <w:tcW w:w="464"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A类</w:t>
            </w:r>
          </w:p>
        </w:tc>
        <w:tc>
          <w:tcPr>
            <w:tcW w:w="53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4-3-1</w:t>
            </w:r>
          </w:p>
        </w:tc>
        <w:tc>
          <w:tcPr>
            <w:tcW w:w="344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jc w:val="both"/>
              <w:textAlignment w:val="auto"/>
              <w:rPr>
                <w:bCs/>
                <w:sz w:val="24"/>
                <w:szCs w:val="24"/>
              </w:rPr>
            </w:pPr>
            <w:r>
              <w:rPr>
                <w:bCs/>
                <w:sz w:val="24"/>
                <w:szCs w:val="24"/>
              </w:rPr>
              <w:t>咨询报告或政策建议得到现职正国级领导肯定性批示</w:t>
            </w:r>
          </w:p>
        </w:tc>
        <w:tc>
          <w:tcPr>
            <w:tcW w:w="556"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1361" w:hRule="atLeast"/>
        </w:trPr>
        <w:tc>
          <w:tcPr>
            <w:tcW w:w="464"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p>
        </w:tc>
        <w:tc>
          <w:tcPr>
            <w:tcW w:w="53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4-3-2</w:t>
            </w:r>
          </w:p>
        </w:tc>
        <w:tc>
          <w:tcPr>
            <w:tcW w:w="344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jc w:val="both"/>
              <w:textAlignment w:val="auto"/>
              <w:rPr>
                <w:rFonts w:hint="eastAsia"/>
                <w:bCs/>
                <w:sz w:val="24"/>
                <w:szCs w:val="24"/>
              </w:rPr>
            </w:pPr>
            <w:r>
              <w:rPr>
                <w:bCs/>
                <w:sz w:val="24"/>
                <w:szCs w:val="24"/>
              </w:rPr>
              <w:t>咨询报告或政策建议得到现职副国级领导肯定性批示或被中共中央、全国人大、国务院、全国政协等采纳</w:t>
            </w:r>
            <w:r>
              <w:rPr>
                <w:rFonts w:hint="eastAsia"/>
                <w:bCs/>
                <w:sz w:val="24"/>
                <w:szCs w:val="24"/>
              </w:rPr>
              <w:t>；受国家部委邀请为国家领导人或中共中央、国务院、全国人大、全国政协提供政策参考、报告讲座</w:t>
            </w:r>
          </w:p>
        </w:tc>
        <w:tc>
          <w:tcPr>
            <w:tcW w:w="556"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1134" w:hRule="atLeast"/>
        </w:trPr>
        <w:tc>
          <w:tcPr>
            <w:tcW w:w="464"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B类</w:t>
            </w:r>
          </w:p>
        </w:tc>
        <w:tc>
          <w:tcPr>
            <w:tcW w:w="53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4-3-3</w:t>
            </w:r>
          </w:p>
        </w:tc>
        <w:tc>
          <w:tcPr>
            <w:tcW w:w="344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jc w:val="both"/>
              <w:textAlignment w:val="auto"/>
              <w:rPr>
                <w:bCs/>
                <w:sz w:val="24"/>
                <w:szCs w:val="24"/>
              </w:rPr>
            </w:pPr>
            <w:r>
              <w:rPr>
                <w:bCs/>
                <w:sz w:val="24"/>
                <w:szCs w:val="24"/>
              </w:rPr>
              <w:t>咨询报告或政策建议得到现职</w:t>
            </w:r>
            <w:r>
              <w:rPr>
                <w:rFonts w:hint="eastAsia"/>
                <w:bCs/>
                <w:sz w:val="24"/>
                <w:szCs w:val="24"/>
              </w:rPr>
              <w:t>党政系统</w:t>
            </w:r>
            <w:r>
              <w:rPr>
                <w:bCs/>
                <w:sz w:val="24"/>
                <w:szCs w:val="24"/>
              </w:rPr>
              <w:t>省部级正职领导肯定性批示；新华社《国内动态清样附页》</w:t>
            </w:r>
          </w:p>
        </w:tc>
        <w:tc>
          <w:tcPr>
            <w:tcW w:w="556"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798" w:hRule="atLeast"/>
        </w:trPr>
        <w:tc>
          <w:tcPr>
            <w:tcW w:w="464"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p>
        </w:tc>
        <w:tc>
          <w:tcPr>
            <w:tcW w:w="53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4-3-4</w:t>
            </w:r>
          </w:p>
        </w:tc>
        <w:tc>
          <w:tcPr>
            <w:tcW w:w="344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jc w:val="both"/>
              <w:textAlignment w:val="auto"/>
              <w:rPr>
                <w:rFonts w:hint="eastAsia"/>
                <w:bCs/>
                <w:sz w:val="24"/>
                <w:szCs w:val="24"/>
              </w:rPr>
            </w:pPr>
            <w:r>
              <w:rPr>
                <w:bCs/>
                <w:sz w:val="24"/>
                <w:szCs w:val="24"/>
              </w:rPr>
              <w:t>咨询报告或政策建议得到现职人大政协</w:t>
            </w:r>
            <w:r>
              <w:rPr>
                <w:rFonts w:hint="eastAsia"/>
                <w:bCs/>
                <w:sz w:val="24"/>
                <w:szCs w:val="24"/>
              </w:rPr>
              <w:t>系统</w:t>
            </w:r>
            <w:r>
              <w:rPr>
                <w:bCs/>
                <w:sz w:val="24"/>
                <w:szCs w:val="24"/>
              </w:rPr>
              <w:t>省部级</w:t>
            </w:r>
            <w:r>
              <w:rPr>
                <w:rFonts w:hint="eastAsia"/>
                <w:bCs/>
                <w:sz w:val="24"/>
                <w:szCs w:val="24"/>
              </w:rPr>
              <w:t>正职领导或党政系统</w:t>
            </w:r>
            <w:r>
              <w:rPr>
                <w:bCs/>
                <w:sz w:val="24"/>
                <w:szCs w:val="24"/>
              </w:rPr>
              <w:t>省部级副职领导肯定性批示或被省部级党政机关采纳；受国家部委或</w:t>
            </w:r>
            <w:r>
              <w:rPr>
                <w:rFonts w:hint="eastAsia"/>
                <w:bCs/>
                <w:sz w:val="24"/>
                <w:szCs w:val="24"/>
              </w:rPr>
              <w:t>省委、</w:t>
            </w:r>
            <w:r>
              <w:rPr>
                <w:bCs/>
                <w:sz w:val="24"/>
                <w:szCs w:val="24"/>
              </w:rPr>
              <w:t>省政府邀请为其提供政策参考、报告讲座</w:t>
            </w:r>
            <w:r>
              <w:rPr>
                <w:rFonts w:hint="eastAsia"/>
                <w:bCs/>
                <w:sz w:val="24"/>
                <w:szCs w:val="24"/>
              </w:rPr>
              <w:t>；</w:t>
            </w:r>
            <w:r>
              <w:rPr>
                <w:bCs/>
                <w:sz w:val="24"/>
                <w:szCs w:val="24"/>
              </w:rPr>
              <w:t>新华社《国内动态清样》《参考清样》，人民日报《内参》，光明日报《内参》；国家社科规划办《成果要报》，全国教科规划办《教育成果要报》，教育部《高校智库专刊》《成果摘报》等</w:t>
            </w:r>
          </w:p>
        </w:tc>
        <w:tc>
          <w:tcPr>
            <w:tcW w:w="556"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907" w:hRule="atLeast"/>
        </w:trPr>
        <w:tc>
          <w:tcPr>
            <w:tcW w:w="464"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C类</w:t>
            </w:r>
          </w:p>
        </w:tc>
        <w:tc>
          <w:tcPr>
            <w:tcW w:w="53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4-3-5</w:t>
            </w:r>
          </w:p>
        </w:tc>
        <w:tc>
          <w:tcPr>
            <w:tcW w:w="344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jc w:val="both"/>
              <w:textAlignment w:val="auto"/>
              <w:rPr>
                <w:bCs/>
                <w:sz w:val="24"/>
                <w:szCs w:val="24"/>
              </w:rPr>
            </w:pPr>
            <w:r>
              <w:rPr>
                <w:bCs/>
                <w:sz w:val="24"/>
                <w:szCs w:val="24"/>
              </w:rPr>
              <w:t>咨询报告或政策建议得到现职人大政协</w:t>
            </w:r>
            <w:r>
              <w:rPr>
                <w:rFonts w:hint="eastAsia"/>
                <w:bCs/>
                <w:sz w:val="24"/>
                <w:szCs w:val="24"/>
              </w:rPr>
              <w:t>系统</w:t>
            </w:r>
            <w:r>
              <w:rPr>
                <w:bCs/>
                <w:sz w:val="24"/>
                <w:szCs w:val="24"/>
              </w:rPr>
              <w:t>省部级</w:t>
            </w:r>
            <w:r>
              <w:rPr>
                <w:rFonts w:hint="eastAsia"/>
                <w:bCs/>
                <w:sz w:val="24"/>
                <w:szCs w:val="24"/>
              </w:rPr>
              <w:t>副职领导或党政系统</w:t>
            </w:r>
            <w:r>
              <w:rPr>
                <w:bCs/>
                <w:sz w:val="24"/>
                <w:szCs w:val="24"/>
              </w:rPr>
              <w:t>地厅级正职领导肯定性批示；《中国社会科学内部文稿》及国家相关部委主办的咨询类内刊等</w:t>
            </w:r>
          </w:p>
        </w:tc>
        <w:tc>
          <w:tcPr>
            <w:tcW w:w="556"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1304" w:hRule="atLeast"/>
        </w:trPr>
        <w:tc>
          <w:tcPr>
            <w:tcW w:w="464"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p>
        </w:tc>
        <w:tc>
          <w:tcPr>
            <w:tcW w:w="535"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4-3-6</w:t>
            </w:r>
          </w:p>
        </w:tc>
        <w:tc>
          <w:tcPr>
            <w:tcW w:w="344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jc w:val="both"/>
              <w:textAlignment w:val="auto"/>
              <w:rPr>
                <w:bCs/>
                <w:sz w:val="24"/>
                <w:szCs w:val="24"/>
              </w:rPr>
            </w:pPr>
            <w:r>
              <w:rPr>
                <w:bCs/>
                <w:sz w:val="24"/>
                <w:szCs w:val="24"/>
              </w:rPr>
              <w:t>咨询报告或政策建议得到现职人大政协</w:t>
            </w:r>
            <w:r>
              <w:rPr>
                <w:rFonts w:hint="eastAsia"/>
                <w:bCs/>
                <w:sz w:val="24"/>
                <w:szCs w:val="24"/>
              </w:rPr>
              <w:t>系统</w:t>
            </w:r>
            <w:r>
              <w:rPr>
                <w:bCs/>
                <w:sz w:val="24"/>
                <w:szCs w:val="24"/>
              </w:rPr>
              <w:t>地厅级</w:t>
            </w:r>
            <w:r>
              <w:rPr>
                <w:rFonts w:hint="eastAsia"/>
                <w:bCs/>
                <w:sz w:val="24"/>
                <w:szCs w:val="24"/>
              </w:rPr>
              <w:t>正职领导或党政系统</w:t>
            </w:r>
            <w:r>
              <w:rPr>
                <w:bCs/>
                <w:sz w:val="24"/>
                <w:szCs w:val="24"/>
              </w:rPr>
              <w:t>地厅级副职领导肯定性批示或被省级单位政研室、地厅司局级党政机关采纳；受地级市</w:t>
            </w:r>
            <w:r>
              <w:rPr>
                <w:rFonts w:hint="eastAsia"/>
                <w:bCs/>
                <w:sz w:val="24"/>
                <w:szCs w:val="24"/>
              </w:rPr>
              <w:t>党委、</w:t>
            </w:r>
            <w:r>
              <w:rPr>
                <w:bCs/>
                <w:sz w:val="24"/>
                <w:szCs w:val="24"/>
              </w:rPr>
              <w:t>政府邀请为其提供政策参考、报告讲座</w:t>
            </w:r>
            <w:r>
              <w:rPr>
                <w:rFonts w:hint="eastAsia"/>
                <w:bCs/>
                <w:sz w:val="24"/>
                <w:szCs w:val="24"/>
              </w:rPr>
              <w:t>；</w:t>
            </w:r>
            <w:r>
              <w:rPr>
                <w:bCs/>
                <w:sz w:val="24"/>
                <w:szCs w:val="24"/>
              </w:rPr>
              <w:t>省级单位主办的咨询类内刊等</w:t>
            </w:r>
          </w:p>
        </w:tc>
        <w:tc>
          <w:tcPr>
            <w:tcW w:w="556"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907" w:hRule="atLeast"/>
        </w:trPr>
        <w:tc>
          <w:tcPr>
            <w:tcW w:w="464"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D类</w:t>
            </w:r>
          </w:p>
        </w:tc>
        <w:tc>
          <w:tcPr>
            <w:tcW w:w="535"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M</w:t>
            </w:r>
            <w:r>
              <w:rPr>
                <w:bCs/>
                <w:sz w:val="24"/>
                <w:szCs w:val="24"/>
                <w:vertAlign w:val="subscript"/>
              </w:rPr>
              <w:t>4-3-7</w:t>
            </w:r>
          </w:p>
        </w:tc>
        <w:tc>
          <w:tcPr>
            <w:tcW w:w="3443" w:type="pct"/>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jc w:val="both"/>
              <w:textAlignment w:val="auto"/>
              <w:rPr>
                <w:bCs/>
                <w:sz w:val="24"/>
                <w:szCs w:val="24"/>
              </w:rPr>
            </w:pPr>
            <w:r>
              <w:rPr>
                <w:bCs/>
                <w:sz w:val="24"/>
                <w:szCs w:val="24"/>
              </w:rPr>
              <w:t>咨询报告或政策建议得到现职人大政协</w:t>
            </w:r>
            <w:r>
              <w:rPr>
                <w:rFonts w:hint="eastAsia"/>
                <w:bCs/>
                <w:sz w:val="24"/>
                <w:szCs w:val="24"/>
              </w:rPr>
              <w:t>系统</w:t>
            </w:r>
            <w:r>
              <w:rPr>
                <w:bCs/>
                <w:sz w:val="24"/>
                <w:szCs w:val="24"/>
              </w:rPr>
              <w:t>地厅级</w:t>
            </w:r>
            <w:r>
              <w:rPr>
                <w:rFonts w:hint="eastAsia"/>
                <w:bCs/>
                <w:sz w:val="24"/>
                <w:szCs w:val="24"/>
              </w:rPr>
              <w:t>副职领导或党政系统</w:t>
            </w:r>
            <w:r>
              <w:rPr>
                <w:bCs/>
                <w:sz w:val="24"/>
                <w:szCs w:val="24"/>
              </w:rPr>
              <w:t>县处级</w:t>
            </w:r>
            <w:r>
              <w:rPr>
                <w:rFonts w:hint="eastAsia"/>
                <w:bCs/>
                <w:sz w:val="24"/>
                <w:szCs w:val="24"/>
              </w:rPr>
              <w:t>正职</w:t>
            </w:r>
            <w:r>
              <w:rPr>
                <w:bCs/>
                <w:sz w:val="24"/>
                <w:szCs w:val="24"/>
              </w:rPr>
              <w:t>领导肯定性批示或被地级市政研室、县处级党政机关采纳等</w:t>
            </w:r>
          </w:p>
        </w:tc>
        <w:tc>
          <w:tcPr>
            <w:tcW w:w="556"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szCs w:val="24"/>
              </w:rPr>
            </w:pPr>
            <w:r>
              <w:rPr>
                <w:bCs/>
                <w:sz w:val="24"/>
                <w:szCs w:val="24"/>
              </w:rPr>
              <w:t>10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19" w:firstLineChars="200"/>
        <w:textAlignment w:val="auto"/>
        <w:rPr>
          <w:b/>
          <w:bCs w:val="0"/>
          <w:szCs w:val="32"/>
        </w:rPr>
      </w:pPr>
      <w:r>
        <w:rPr>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（1）</w:t>
      </w:r>
      <w:bookmarkStart w:id="59" w:name="OLE_LINK96"/>
      <w:bookmarkStart w:id="60" w:name="OLE_LINK95"/>
      <w:r>
        <w:rPr>
          <w:bCs/>
          <w:szCs w:val="32"/>
        </w:rPr>
        <w:t>报告（采纳证明、批示）应体现浙江师范大学署名信息或由报送单位提供的相关证明材料。</w:t>
      </w:r>
      <w:bookmarkEnd w:id="59"/>
      <w:bookmarkEnd w:id="60"/>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bCs/>
          <w:szCs w:val="32"/>
        </w:rPr>
      </w:pPr>
      <w:r>
        <w:rPr>
          <w:rFonts w:hint="eastAsia"/>
          <w:bCs/>
          <w:szCs w:val="32"/>
        </w:rPr>
        <w:t>（2）受国家部委、地市级及以上党委、政府邀请提供政策参考、开展报告讲座的，要有邀请部门书面邀请函或相关证明材料，口头表扬等</w:t>
      </w:r>
      <w:r>
        <w:rPr>
          <w:bCs/>
          <w:szCs w:val="32"/>
        </w:rPr>
        <w:t>不计分也</w:t>
      </w:r>
      <w:r>
        <w:rPr>
          <w:rFonts w:hint="eastAsia"/>
          <w:bCs/>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w:t>
      </w:r>
      <w:r>
        <w:rPr>
          <w:rFonts w:hint="eastAsia"/>
          <w:bCs/>
          <w:szCs w:val="32"/>
        </w:rPr>
        <w:t>3</w:t>
      </w:r>
      <w:r>
        <w:rPr>
          <w:bCs/>
          <w:szCs w:val="32"/>
        </w:rPr>
        <w:t>）本类别所称的党政机关</w:t>
      </w:r>
      <w:r>
        <w:rPr>
          <w:rFonts w:hint="eastAsia"/>
          <w:bCs/>
          <w:szCs w:val="32"/>
        </w:rPr>
        <w:t>仅指</w:t>
      </w:r>
      <w:r>
        <w:rPr>
          <w:bCs/>
          <w:szCs w:val="32"/>
        </w:rPr>
        <w:t>党的机关</w:t>
      </w:r>
      <w:r>
        <w:rPr>
          <w:rFonts w:hint="eastAsia"/>
          <w:bCs/>
          <w:szCs w:val="32"/>
        </w:rPr>
        <w:t>和</w:t>
      </w:r>
      <w:r>
        <w:rPr>
          <w:bCs/>
          <w:szCs w:val="32"/>
        </w:rPr>
        <w:t>行政机关</w:t>
      </w:r>
      <w:r>
        <w:rPr>
          <w:rFonts w:hint="eastAsia"/>
          <w:bCs/>
          <w:szCs w:val="32"/>
        </w:rPr>
        <w:t>，不包括人大机关</w:t>
      </w:r>
      <w:r>
        <w:rPr>
          <w:bCs/>
          <w:szCs w:val="32"/>
        </w:rPr>
        <w:t>、政协机关、审判机关、检察机关、军事机关</w:t>
      </w:r>
      <w:r>
        <w:rPr>
          <w:rFonts w:hint="eastAsia"/>
          <w:bCs/>
          <w:szCs w:val="32"/>
        </w:rPr>
        <w:t>以及</w:t>
      </w:r>
      <w:r>
        <w:rPr>
          <w:bCs/>
          <w:szCs w:val="32"/>
        </w:rPr>
        <w:t>各级党政机关派出机构、直属事业单位，工会、共青团、妇联等人民团体</w:t>
      </w:r>
      <w:r>
        <w:rPr>
          <w:rFonts w:hint="eastAsia"/>
          <w:bCs/>
          <w:szCs w:val="32"/>
        </w:rPr>
        <w:t>等</w:t>
      </w:r>
      <w:r>
        <w:rPr>
          <w:bCs/>
          <w:szCs w:val="32"/>
        </w:rPr>
        <w:t>。各级人大、政协提案及其答复意见不计分也；各类各级学会、协会等非政府组织采纳的报告不计分也。</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w:t>
      </w:r>
      <w:r>
        <w:rPr>
          <w:rFonts w:hint="eastAsia"/>
          <w:bCs/>
          <w:szCs w:val="32"/>
        </w:rPr>
        <w:t>4</w:t>
      </w:r>
      <w:r>
        <w:rPr>
          <w:bCs/>
          <w:szCs w:val="32"/>
        </w:rPr>
        <w:t>）我校为非第一完成单位获得的A类咨询报告，第二完成单位按50%计分，第三完成单位及以后均按前一个完成单位的50%计分；B类咨询报告，第二完成单位按30%计分，第三完成单位及以后均按前一个完成单位的50%计分；C类、D类咨询报告不计分也。</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w:t>
      </w:r>
      <w:r>
        <w:rPr>
          <w:rFonts w:hint="eastAsia"/>
          <w:bCs/>
          <w:szCs w:val="32"/>
        </w:rPr>
        <w:t>5</w:t>
      </w:r>
      <w:r>
        <w:rPr>
          <w:bCs/>
          <w:szCs w:val="32"/>
        </w:rPr>
        <w:t>）决策咨询成果内容涉及相关人员前期研究成果的，由成果报送人根据参与的贡献分配科研业绩分金额。</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w:t>
      </w:r>
      <w:r>
        <w:rPr>
          <w:rFonts w:hint="eastAsia"/>
          <w:bCs/>
          <w:szCs w:val="32"/>
        </w:rPr>
        <w:t>6</w:t>
      </w:r>
      <w:r>
        <w:rPr>
          <w:bCs/>
          <w:szCs w:val="32"/>
        </w:rPr>
        <w:t>）师生共同署名，我校学生以第一作者的，排名最前的教师视同第一作者。</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黑体" w:hAnsi="黑体" w:eastAsia="黑体" w:cs="黑体"/>
          <w:bCs/>
          <w:szCs w:val="32"/>
        </w:rPr>
      </w:pPr>
      <w:bookmarkStart w:id="61" w:name="OLE_LINK98"/>
      <w:bookmarkStart w:id="62" w:name="OLE_LINK97"/>
      <w:r>
        <w:rPr>
          <w:rFonts w:hint="eastAsia" w:ascii="黑体" w:hAnsi="黑体" w:eastAsia="黑体" w:cs="黑体"/>
          <w:bCs/>
          <w:szCs w:val="32"/>
          <w:lang w:val="en-US" w:eastAsia="zh-CN"/>
        </w:rPr>
        <w:t>五、</w:t>
      </w:r>
      <w:r>
        <w:rPr>
          <w:rFonts w:hint="eastAsia" w:ascii="黑体" w:hAnsi="黑体" w:eastAsia="黑体" w:cs="黑体"/>
          <w:bCs/>
          <w:szCs w:val="32"/>
        </w:rPr>
        <w:t>文艺与创作（M</w:t>
      </w:r>
      <w:r>
        <w:rPr>
          <w:rFonts w:hint="eastAsia" w:ascii="黑体" w:hAnsi="黑体" w:eastAsia="黑体" w:cs="黑体"/>
          <w:bCs/>
          <w:szCs w:val="32"/>
          <w:vertAlign w:val="subscript"/>
        </w:rPr>
        <w:t>5</w:t>
      </w:r>
      <w:r>
        <w:rPr>
          <w:rFonts w:hint="eastAsia" w:ascii="黑体" w:hAnsi="黑体" w:eastAsia="黑体" w:cs="黑体"/>
          <w:bCs/>
          <w:szCs w:val="32"/>
        </w:rPr>
        <w:t>）</w:t>
      </w:r>
    </w:p>
    <w:bookmarkEnd w:id="61"/>
    <w:bookmarkEnd w:id="62"/>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楷体_GB2312" w:hAnsi="楷体_GB2312" w:eastAsia="楷体_GB2312" w:cs="楷体_GB2312"/>
          <w:bCs/>
          <w:szCs w:val="32"/>
        </w:rPr>
      </w:pPr>
      <w:r>
        <w:rPr>
          <w:rFonts w:hint="eastAsia" w:ascii="楷体_GB2312" w:hAnsi="楷体_GB2312" w:eastAsia="楷体_GB2312" w:cs="楷体_GB2312"/>
          <w:bCs/>
          <w:szCs w:val="32"/>
        </w:rPr>
        <w:t>1．作品参展与参演（M</w:t>
      </w:r>
      <w:r>
        <w:rPr>
          <w:rFonts w:hint="eastAsia" w:ascii="楷体_GB2312" w:hAnsi="楷体_GB2312" w:eastAsia="楷体_GB2312" w:cs="楷体_GB2312"/>
          <w:bCs/>
          <w:szCs w:val="32"/>
          <w:vertAlign w:val="subscript"/>
        </w:rPr>
        <w:t>5-1</w:t>
      </w:r>
      <w:r>
        <w:rPr>
          <w:rFonts w:hint="eastAsia" w:ascii="楷体_GB2312" w:hAnsi="楷体_GB2312" w:eastAsia="楷体_GB2312" w:cs="楷体_GB2312"/>
          <w:bCs/>
          <w:szCs w:val="32"/>
        </w:rPr>
        <w:t>）</w:t>
      </w:r>
    </w:p>
    <w:tbl>
      <w:tblPr>
        <w:tblStyle w:val="4"/>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735"/>
        <w:gridCol w:w="7302"/>
        <w:gridCol w:w="8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67" w:hRule="atLeast"/>
          <w:tblHeader/>
        </w:trPr>
        <w:tc>
          <w:tcPr>
            <w:tcW w:w="41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代码</w:t>
            </w:r>
          </w:p>
        </w:tc>
        <w:tc>
          <w:tcPr>
            <w:tcW w:w="41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类   别</w:t>
            </w:r>
          </w:p>
        </w:tc>
        <w:tc>
          <w:tcPr>
            <w:tcW w:w="48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sz w:val="24"/>
              </w:rPr>
            </w:pPr>
            <w:r>
              <w:rPr>
                <w:rFonts w:hint="eastAsia" w:ascii="黑体" w:hAnsi="黑体" w:eastAsia="黑体" w:cs="黑体"/>
                <w:b/>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3402" w:hRule="atLeast"/>
        </w:trPr>
        <w:tc>
          <w:tcPr>
            <w:tcW w:w="41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5-1-1</w:t>
            </w:r>
          </w:p>
        </w:tc>
        <w:tc>
          <w:tcPr>
            <w:tcW w:w="41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jc w:val="left"/>
              <w:textAlignment w:val="auto"/>
              <w:rPr>
                <w:bCs/>
                <w:sz w:val="24"/>
              </w:rPr>
            </w:pPr>
            <w:r>
              <w:rPr>
                <w:bCs/>
                <w:sz w:val="24"/>
              </w:rPr>
              <w:t>入围五年一届的全国美术展览或全军美术展览；入围全国精神文明建设“五个一工程”奖（含文艺类图书、电影、电视剧片、戏剧、歌曲5个子项）；入围中国文联奖（含中国戏剧奖、大众电影百花奖、电影金鸡奖、音乐金钟奖、曲艺牡丹奖、书法兰亭奖、杂技金菊奖、摄影金像奖、民间文艺山花奖、电视金鹰奖、舞蹈荷花奖，美术金彩奖12个子项）；入围中国广播影视大奖（中国电影华表奖、中国电视剧飞天奖、中国广播电视节目奖3个子项）；入围中国文化艺术政府奖“文华奖”单项奖（含文华剧作奖、文华导演奖、文华编导奖、文华音乐创作奖、文华舞台美术奖、文华表演奖6个子项）；入围茅盾文学奖、鲁迅文学奖</w:t>
            </w:r>
          </w:p>
        </w:tc>
        <w:tc>
          <w:tcPr>
            <w:tcW w:w="48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835" w:hRule="atLeast"/>
        </w:trPr>
        <w:tc>
          <w:tcPr>
            <w:tcW w:w="41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5-1-2</w:t>
            </w:r>
          </w:p>
        </w:tc>
        <w:tc>
          <w:tcPr>
            <w:tcW w:w="41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48" w:firstLineChars="200"/>
              <w:jc w:val="left"/>
              <w:textAlignment w:val="auto"/>
              <w:rPr>
                <w:bCs/>
                <w:spacing w:val="-8"/>
                <w:sz w:val="24"/>
                <w:szCs w:val="24"/>
              </w:rPr>
            </w:pPr>
            <w:r>
              <w:rPr>
                <w:bCs/>
                <w:spacing w:val="-8"/>
                <w:sz w:val="24"/>
                <w:szCs w:val="24"/>
              </w:rPr>
              <w:t>入围中国文化艺术政府奖“群星奖”（舞蹈、戏剧、曲艺类的编导或主要表演者，音乐类作曲者，美术、书法、摄影类作者）；入围国家新闻出版广电总局优秀国产影片、电视片等；在中央电视台播出时长在10分钟及以上；入选德国红点奖、德国IF奖、美国IDEA奖；入围中国服装设计金顶奖；入选中国评协啄木鸟杯；入围全国优秀儿童文学奖、陈伯吹儿童文学奖、冰心儿童文学奖、全国少数民族文学创作骏马奖</w:t>
            </w:r>
          </w:p>
        </w:tc>
        <w:tc>
          <w:tcPr>
            <w:tcW w:w="48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757" w:hRule="atLeast"/>
        </w:trPr>
        <w:tc>
          <w:tcPr>
            <w:tcW w:w="41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5-1-3</w:t>
            </w:r>
          </w:p>
        </w:tc>
        <w:tc>
          <w:tcPr>
            <w:tcW w:w="41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rPr>
            </w:pPr>
            <w:r>
              <w:rPr>
                <w:bCs/>
                <w:sz w:val="24"/>
              </w:rPr>
              <w:t xml:space="preserve">参加中宣部、文旅部、新闻出版广电总局、中国文联或文联下属协会举办的国家层面大型演出、艺术展（演）及全国性其他各类赛事；在故宫博物院、中国美术馆、中国人民革命军事博物馆举办个人作品展或作品被上述机构收藏；在国家大剧院、北京音乐厅、北京保利剧院举办个人表演或作品音乐会（1小时及以上）；作品在中央电视台播出时长在10分钟以下 </w:t>
            </w:r>
          </w:p>
        </w:tc>
        <w:tc>
          <w:tcPr>
            <w:tcW w:w="48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984" w:hRule="atLeast"/>
        </w:trPr>
        <w:tc>
          <w:tcPr>
            <w:tcW w:w="41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5-1-4</w:t>
            </w:r>
          </w:p>
        </w:tc>
        <w:tc>
          <w:tcPr>
            <w:tcW w:w="41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56" w:firstLineChars="200"/>
              <w:textAlignment w:val="auto"/>
              <w:rPr>
                <w:bCs/>
                <w:sz w:val="24"/>
              </w:rPr>
            </w:pPr>
            <w:r>
              <w:rPr>
                <w:bCs/>
                <w:sz w:val="24"/>
              </w:rPr>
              <w:t>入选五年一届浙江省美展、四年一届浙江省书法展；入围浙江省音乐金钟奖决赛、浙江省音乐舞蹈节兰花奖决赛、浙江省新松计划大赛决赛；入围浙江省文化艺术政府奖“群星奖”（舞蹈、戏剧、曲艺类的编导或主要表演者，音乐类作曲者，美术、书法、摄影类作者）；入选浙江省精神文明建设“五个一工程奖”；主创电视作品在省级卫视播放，主创电影作品在院线公映；入选国家大剧院“青年作曲家计划”展演</w:t>
            </w:r>
          </w:p>
        </w:tc>
        <w:tc>
          <w:tcPr>
            <w:tcW w:w="48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77" w:hRule="atLeast"/>
        </w:trPr>
        <w:tc>
          <w:tcPr>
            <w:tcW w:w="413"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5-1-5</w:t>
            </w:r>
          </w:p>
        </w:tc>
        <w:tc>
          <w:tcPr>
            <w:tcW w:w="41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448" w:firstLineChars="200"/>
              <w:textAlignment w:val="auto"/>
              <w:rPr>
                <w:bCs/>
                <w:spacing w:val="-8"/>
                <w:sz w:val="24"/>
                <w:szCs w:val="24"/>
              </w:rPr>
            </w:pPr>
            <w:r>
              <w:rPr>
                <w:bCs/>
                <w:spacing w:val="-8"/>
                <w:sz w:val="24"/>
                <w:szCs w:val="24"/>
              </w:rPr>
              <w:t>参加浙江省委宣传部、省文旅厅、省新闻出版广电局、省文联、省音协、省舞协、省美协、省书协、省摄影家协会举办的省级层面的演出、艺术展（演）或作品在浙江卫视播放</w:t>
            </w:r>
          </w:p>
        </w:tc>
        <w:tc>
          <w:tcPr>
            <w:tcW w:w="484"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10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19"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（1）计分与奖励范围仅限于我校为第一完成单位或作为联合出品单位的参展（演）、主创作品，影视作品的导演或编剧或摄影为我校教师。</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组织展览单位、举办单位均须严格以正式文件和通知所列举的单位为准，相关单位与企业或社会力量等举办（联合举办）的活动或通过租赁场地等市场化运作的活动均不在计分与奖励范围，其中入围中国文联奖须盖中国文联或下属一级协会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（3）作品展览、展演和获奖均以展演证、入选证、收藏证书、获奖证书、入选作品集和正式出版的作品专集专辑或CD光盘或影像资料为准。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24" w:firstLineChars="200"/>
        <w:textAlignment w:val="auto"/>
        <w:rPr>
          <w:rFonts w:hint="eastAsia" w:ascii="仿宋_GB2312" w:hAnsi="仿宋_GB2312" w:eastAsia="仿宋_GB2312" w:cs="仿宋_GB2312"/>
          <w:bCs/>
          <w:spacing w:val="-4"/>
          <w:szCs w:val="32"/>
        </w:rPr>
      </w:pPr>
      <w:r>
        <w:rPr>
          <w:rFonts w:hint="eastAsia" w:ascii="仿宋_GB2312" w:hAnsi="仿宋_GB2312" w:eastAsia="仿宋_GB2312" w:cs="仿宋_GB2312"/>
          <w:bCs/>
          <w:spacing w:val="-4"/>
          <w:szCs w:val="32"/>
        </w:rPr>
        <w:t>（4）参演作品是指我校教师为主角的独立（合作）表演（展演）或我校教师原创作品参加表演（展演），不包括个人参加大合唱、集体舞蹈、集体演奏、舞台剧等各种群体性表演（展演）和演奏。</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（5）电影作品院线公映是指作品至少在3个城市10家影院公开上映且上映时间至少一周。</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（6）教师或作品参加同一主题或同一类别巡展、巡演的按1次计。</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（7）纳入计分的参展、参演作品若出售或转让的，其出售或转让收益按照《浙江师范大学科技成果转化管理办法（试行）》的有关要求执行。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（8）除因户籍要求无法在浙江省参加而只能在现户籍所在省份参展参演外，非浙江省的省级及以下层面参展参演不计分。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楷体_GB2312" w:hAnsi="楷体_GB2312" w:eastAsia="楷体_GB2312" w:cs="楷体_GB2312"/>
          <w:bCs/>
          <w:szCs w:val="32"/>
        </w:rPr>
      </w:pPr>
      <w:r>
        <w:rPr>
          <w:rFonts w:hint="eastAsia" w:ascii="楷体_GB2312" w:hAnsi="楷体_GB2312" w:eastAsia="楷体_GB2312" w:cs="楷体_GB2312"/>
          <w:bCs/>
          <w:szCs w:val="32"/>
        </w:rPr>
        <w:t>2．创作获奖（M</w:t>
      </w:r>
      <w:r>
        <w:rPr>
          <w:rFonts w:hint="eastAsia" w:ascii="楷体_GB2312" w:hAnsi="楷体_GB2312" w:eastAsia="楷体_GB2312" w:cs="楷体_GB2312"/>
          <w:bCs/>
          <w:szCs w:val="32"/>
          <w:vertAlign w:val="subscript"/>
        </w:rPr>
        <w:t>5-2</w:t>
      </w:r>
      <w:r>
        <w:rPr>
          <w:rFonts w:hint="eastAsia" w:ascii="楷体_GB2312" w:hAnsi="楷体_GB2312" w:eastAsia="楷体_GB2312" w:cs="楷体_GB2312"/>
          <w:bCs/>
          <w:szCs w:val="32"/>
        </w:rPr>
        <w:t>）</w:t>
      </w:r>
    </w:p>
    <w:tbl>
      <w:tblPr>
        <w:tblStyle w:val="4"/>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415"/>
        <w:gridCol w:w="1637"/>
        <w:gridCol w:w="1625"/>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代码</w:t>
            </w:r>
          </w:p>
        </w:tc>
        <w:tc>
          <w:tcPr>
            <w:tcW w:w="241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类别</w:t>
            </w:r>
          </w:p>
        </w:tc>
        <w:tc>
          <w:tcPr>
            <w:tcW w:w="531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p>
        </w:tc>
        <w:tc>
          <w:tcPr>
            <w:tcW w:w="241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p>
        </w:tc>
        <w:tc>
          <w:tcPr>
            <w:tcW w:w="163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pacing w:val="-6"/>
                <w:kern w:val="2"/>
                <w:sz w:val="24"/>
                <w:szCs w:val="20"/>
                <w:lang w:val="en-US" w:eastAsia="zh-CN" w:bidi="ar-SA"/>
              </w:rPr>
            </w:pPr>
            <w:r>
              <w:rPr>
                <w:rFonts w:hint="eastAsia" w:ascii="黑体" w:hAnsi="黑体" w:eastAsia="黑体" w:cs="黑体"/>
                <w:b w:val="0"/>
                <w:bCs/>
                <w:sz w:val="24"/>
              </w:rPr>
              <w:t>金奖（一等奖）</w:t>
            </w:r>
          </w:p>
        </w:tc>
        <w:tc>
          <w:tcPr>
            <w:tcW w:w="16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pacing w:val="-6"/>
                <w:kern w:val="2"/>
                <w:sz w:val="24"/>
                <w:szCs w:val="20"/>
                <w:lang w:val="en-US" w:eastAsia="zh-CN" w:bidi="ar-SA"/>
              </w:rPr>
            </w:pPr>
            <w:r>
              <w:rPr>
                <w:rFonts w:hint="eastAsia" w:ascii="黑体" w:hAnsi="黑体" w:eastAsia="黑体" w:cs="黑体"/>
                <w:b w:val="0"/>
                <w:bCs/>
                <w:sz w:val="24"/>
              </w:rPr>
              <w:t>银奖（二等奖）</w:t>
            </w:r>
          </w:p>
        </w:tc>
        <w:tc>
          <w:tcPr>
            <w:tcW w:w="20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pacing w:val="-6"/>
                <w:kern w:val="2"/>
                <w:sz w:val="24"/>
                <w:szCs w:val="20"/>
                <w:lang w:val="en-US" w:eastAsia="zh-CN" w:bidi="ar-SA"/>
              </w:rPr>
            </w:pPr>
            <w:r>
              <w:rPr>
                <w:rFonts w:hint="eastAsia" w:ascii="黑体" w:hAnsi="黑体" w:eastAsia="黑体" w:cs="黑体"/>
                <w:b w:val="0"/>
                <w:bCs/>
                <w:sz w:val="24"/>
              </w:rPr>
              <w:t>铜奖（三等奖）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bCs/>
                <w:sz w:val="24"/>
              </w:rPr>
              <w:t>M</w:t>
            </w:r>
            <w:r>
              <w:rPr>
                <w:bCs/>
                <w:sz w:val="24"/>
                <w:vertAlign w:val="subscript"/>
              </w:rPr>
              <w:t>5-2-1</w:t>
            </w:r>
          </w:p>
        </w:tc>
        <w:tc>
          <w:tcPr>
            <w:tcW w:w="241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sz w:val="24"/>
              </w:rPr>
            </w:pPr>
            <w:r>
              <w:rPr>
                <w:sz w:val="24"/>
              </w:rPr>
              <w:t>M</w:t>
            </w:r>
            <w:r>
              <w:rPr>
                <w:sz w:val="24"/>
                <w:vertAlign w:val="subscript"/>
              </w:rPr>
              <w:t>5-1-1</w:t>
            </w:r>
            <w:r>
              <w:rPr>
                <w:sz w:val="24"/>
              </w:rPr>
              <w:t>中涵盖的奖项</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4000</w:t>
            </w:r>
          </w:p>
        </w:tc>
        <w:tc>
          <w:tcPr>
            <w:tcW w:w="16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2000</w:t>
            </w:r>
          </w:p>
        </w:tc>
        <w:tc>
          <w:tcPr>
            <w:tcW w:w="20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5-2-2</w:t>
            </w:r>
          </w:p>
        </w:tc>
        <w:tc>
          <w:tcPr>
            <w:tcW w:w="241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sz w:val="24"/>
              </w:rPr>
            </w:pPr>
            <w:r>
              <w:rPr>
                <w:sz w:val="24"/>
              </w:rPr>
              <w:t>M</w:t>
            </w:r>
            <w:r>
              <w:rPr>
                <w:sz w:val="24"/>
                <w:vertAlign w:val="subscript"/>
              </w:rPr>
              <w:t>5-1-2</w:t>
            </w:r>
            <w:r>
              <w:rPr>
                <w:sz w:val="24"/>
              </w:rPr>
              <w:t>中涵盖的奖项</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2000</w:t>
            </w:r>
          </w:p>
        </w:tc>
        <w:tc>
          <w:tcPr>
            <w:tcW w:w="16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1000</w:t>
            </w:r>
          </w:p>
        </w:tc>
        <w:tc>
          <w:tcPr>
            <w:tcW w:w="20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bCs/>
                <w:sz w:val="24"/>
              </w:rPr>
              <w:t>M</w:t>
            </w:r>
            <w:r>
              <w:rPr>
                <w:bCs/>
                <w:sz w:val="24"/>
                <w:vertAlign w:val="subscript"/>
              </w:rPr>
              <w:t>5-2-3</w:t>
            </w:r>
          </w:p>
        </w:tc>
        <w:tc>
          <w:tcPr>
            <w:tcW w:w="241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sz w:val="24"/>
              </w:rPr>
            </w:pPr>
            <w:r>
              <w:rPr>
                <w:sz w:val="24"/>
              </w:rPr>
              <w:t>M</w:t>
            </w:r>
            <w:r>
              <w:rPr>
                <w:sz w:val="24"/>
                <w:vertAlign w:val="subscript"/>
              </w:rPr>
              <w:t>5-1-3</w:t>
            </w:r>
            <w:r>
              <w:rPr>
                <w:sz w:val="24"/>
              </w:rPr>
              <w:t>中涵盖的奖项</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800</w:t>
            </w:r>
          </w:p>
        </w:tc>
        <w:tc>
          <w:tcPr>
            <w:tcW w:w="16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400</w:t>
            </w:r>
          </w:p>
        </w:tc>
        <w:tc>
          <w:tcPr>
            <w:tcW w:w="20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bCs/>
                <w:sz w:val="24"/>
              </w:rPr>
            </w:pPr>
            <w:r>
              <w:rPr>
                <w:bCs/>
                <w:sz w:val="24"/>
              </w:rPr>
              <w:t>M</w:t>
            </w:r>
            <w:r>
              <w:rPr>
                <w:bCs/>
                <w:sz w:val="24"/>
                <w:vertAlign w:val="subscript"/>
              </w:rPr>
              <w:t>5-2-4</w:t>
            </w:r>
          </w:p>
        </w:tc>
        <w:tc>
          <w:tcPr>
            <w:tcW w:w="241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sz w:val="24"/>
              </w:rPr>
            </w:pPr>
            <w:r>
              <w:rPr>
                <w:sz w:val="24"/>
              </w:rPr>
              <w:t>M</w:t>
            </w:r>
            <w:r>
              <w:rPr>
                <w:sz w:val="24"/>
                <w:vertAlign w:val="subscript"/>
              </w:rPr>
              <w:t>5-1-4</w:t>
            </w:r>
            <w:r>
              <w:rPr>
                <w:sz w:val="24"/>
              </w:rPr>
              <w:t>中涵盖的奖项</w:t>
            </w:r>
          </w:p>
        </w:tc>
        <w:tc>
          <w:tcPr>
            <w:tcW w:w="1637"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300</w:t>
            </w:r>
          </w:p>
        </w:tc>
        <w:tc>
          <w:tcPr>
            <w:tcW w:w="1625"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150</w:t>
            </w:r>
          </w:p>
        </w:tc>
        <w:tc>
          <w:tcPr>
            <w:tcW w:w="2050"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sz w:val="24"/>
              </w:rPr>
            </w:pPr>
            <w:r>
              <w:rPr>
                <w:sz w:val="24"/>
              </w:rPr>
              <w:t>80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19" w:firstLineChars="200"/>
        <w:textAlignment w:val="auto"/>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（1）计分与奖励范围仅限于我校为第一署名单位且第一创作者或表演者为我校教职工的成果。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（2）创作者未参与实际表演（展演、演奏），仅以其原创作品获得表演、展演、演奏奖的，创作者本人不计分。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（3）同一创作成果多次入选（展览、展演）或多次获奖或同时入选且获奖，均按就高原则计分1次。</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（4）不分奖级或只设学术奖的按二等奖计分；优秀奖、提名奖、入选奖等不计分。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24" w:firstLineChars="200"/>
        <w:textAlignment w:val="auto"/>
        <w:rPr>
          <w:rFonts w:hint="eastAsia" w:ascii="仿宋_GB2312" w:hAnsi="仿宋_GB2312" w:eastAsia="仿宋_GB2312" w:cs="仿宋_GB2312"/>
          <w:bCs/>
          <w:spacing w:val="-4"/>
          <w:szCs w:val="32"/>
        </w:rPr>
      </w:pPr>
      <w:r>
        <w:rPr>
          <w:rFonts w:hint="eastAsia" w:ascii="仿宋_GB2312" w:hAnsi="仿宋_GB2312" w:eastAsia="仿宋_GB2312" w:cs="仿宋_GB2312"/>
          <w:bCs/>
          <w:spacing w:val="-4"/>
          <w:szCs w:val="32"/>
        </w:rPr>
        <w:t>（5）除因户籍要求无法在浙江省参加而只能在现户籍所在省份的创作获奖外，非浙江省的省级及以下层面创作获奖不计分。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bCs/>
          <w:szCs w:val="32"/>
        </w:rPr>
      </w:pPr>
      <w:r>
        <w:rPr>
          <w:rFonts w:hint="eastAsia" w:ascii="仿宋_GB2312" w:hAnsi="仿宋_GB2312" w:eastAsia="仿宋_GB2312" w:cs="仿宋_GB2312"/>
          <w:bCs/>
          <w:szCs w:val="32"/>
        </w:rPr>
        <w:t>（6）获得五年一届的全国美术展览金奖、银奖的分别计10000分和5000分。</w:t>
      </w:r>
    </w:p>
    <w:p>
      <w:pPr>
        <w:adjustRightInd w:val="0"/>
        <w:snapToGrid w:val="0"/>
        <w:spacing w:line="560" w:lineRule="exact"/>
        <w:ind w:firstLine="616" w:firstLineChars="200"/>
        <w:rPr>
          <w:rFonts w:hint="eastAsia" w:ascii="黑体" w:hAnsi="黑体" w:eastAsia="黑体" w:cs="黑体"/>
          <w:bCs/>
          <w:szCs w:val="32"/>
        </w:rPr>
      </w:pPr>
      <w:r>
        <w:rPr>
          <w:rFonts w:hint="eastAsia" w:ascii="黑体" w:hAnsi="黑体" w:eastAsia="黑体" w:cs="黑体"/>
          <w:bCs/>
          <w:szCs w:val="32"/>
          <w:lang w:val="en-US" w:eastAsia="zh-CN"/>
        </w:rPr>
        <w:t>六、</w:t>
      </w:r>
      <w:r>
        <w:rPr>
          <w:rFonts w:hint="eastAsia" w:ascii="黑体" w:hAnsi="黑体" w:eastAsia="黑体" w:cs="黑体"/>
          <w:bCs/>
          <w:szCs w:val="32"/>
        </w:rPr>
        <w:t>学术影响力（M</w:t>
      </w:r>
      <w:r>
        <w:rPr>
          <w:rFonts w:hint="eastAsia" w:ascii="黑体" w:hAnsi="黑体" w:eastAsia="黑体" w:cs="黑体"/>
          <w:bCs/>
          <w:szCs w:val="32"/>
          <w:vertAlign w:val="subscript"/>
        </w:rPr>
        <w:t>6</w:t>
      </w:r>
      <w:r>
        <w:rPr>
          <w:rFonts w:hint="eastAsia" w:ascii="黑体" w:hAnsi="黑体" w:eastAsia="黑体" w:cs="黑体"/>
          <w:bCs/>
          <w:szCs w:val="32"/>
        </w:rPr>
        <w:t>）</w:t>
      </w:r>
    </w:p>
    <w:tbl>
      <w:tblPr>
        <w:tblStyle w:val="4"/>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1563"/>
        <w:gridCol w:w="4051"/>
        <w:gridCol w:w="1641"/>
        <w:gridCol w:w="1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10" w:hRule="atLeast"/>
        </w:trPr>
        <w:tc>
          <w:tcPr>
            <w:tcW w:w="878" w:type="pc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类别</w:t>
            </w:r>
          </w:p>
        </w:tc>
        <w:tc>
          <w:tcPr>
            <w:tcW w:w="2276" w:type="pc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层次</w:t>
            </w:r>
          </w:p>
        </w:tc>
        <w:tc>
          <w:tcPr>
            <w:tcW w:w="922" w:type="pc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代码</w:t>
            </w:r>
          </w:p>
        </w:tc>
        <w:tc>
          <w:tcPr>
            <w:tcW w:w="922" w:type="pc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黑体" w:hAnsi="黑体" w:eastAsia="黑体" w:cs="黑体"/>
                <w:b w:val="0"/>
                <w:bCs/>
                <w:sz w:val="24"/>
              </w:rPr>
            </w:pPr>
            <w:r>
              <w:rPr>
                <w:rFonts w:hint="eastAsia" w:ascii="黑体" w:hAnsi="黑体" w:eastAsia="黑体" w:cs="黑体"/>
                <w:b w:val="0"/>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0" w:hRule="atLeast"/>
        </w:trPr>
        <w:tc>
          <w:tcPr>
            <w:tcW w:w="878" w:type="pct"/>
            <w:vMerge w:val="restar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任职</w:t>
            </w:r>
          </w:p>
        </w:tc>
        <w:tc>
          <w:tcPr>
            <w:tcW w:w="2276" w:type="pct"/>
            <w:vAlign w:val="center"/>
          </w:tcPr>
          <w:p>
            <w:pPr>
              <w:keepNext w:val="0"/>
              <w:keepLines w:val="0"/>
              <w:pageBreakBefore w:val="0"/>
              <w:kinsoku/>
              <w:wordWrap/>
              <w:overflowPunct/>
              <w:topLinePunct w:val="0"/>
              <w:autoSpaceDE/>
              <w:autoSpaceDN/>
              <w:bidi w:val="0"/>
              <w:adjustRightInd w:val="0"/>
              <w:snapToGrid w:val="0"/>
              <w:spacing w:line="0" w:lineRule="atLeast"/>
              <w:jc w:val="both"/>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大会主席</w:t>
            </w:r>
          </w:p>
        </w:tc>
        <w:tc>
          <w:tcPr>
            <w:tcW w:w="922" w:type="pc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M</w:t>
            </w:r>
            <w:r>
              <w:rPr>
                <w:rFonts w:hint="eastAsia" w:ascii="仿宋_GB2312" w:hAnsi="仿宋_GB2312" w:eastAsia="仿宋_GB2312" w:cs="仿宋_GB2312"/>
                <w:bCs/>
                <w:sz w:val="24"/>
                <w:vertAlign w:val="subscript"/>
              </w:rPr>
              <w:t>6-1</w:t>
            </w:r>
          </w:p>
        </w:tc>
        <w:tc>
          <w:tcPr>
            <w:tcW w:w="922" w:type="pc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100分/次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25" w:hRule="atLeast"/>
        </w:trPr>
        <w:tc>
          <w:tcPr>
            <w:tcW w:w="87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rPr>
                <w:rFonts w:hint="eastAsia" w:ascii="仿宋_GB2312" w:hAnsi="仿宋_GB2312" w:eastAsia="仿宋_GB2312" w:cs="仿宋_GB2312"/>
                <w:bCs/>
                <w:sz w:val="24"/>
              </w:rPr>
            </w:pPr>
          </w:p>
        </w:tc>
        <w:tc>
          <w:tcPr>
            <w:tcW w:w="2276" w:type="pct"/>
            <w:vAlign w:val="center"/>
          </w:tcPr>
          <w:p>
            <w:pPr>
              <w:keepNext w:val="0"/>
              <w:keepLines w:val="0"/>
              <w:pageBreakBefore w:val="0"/>
              <w:kinsoku/>
              <w:wordWrap/>
              <w:overflowPunct/>
              <w:topLinePunct w:val="0"/>
              <w:autoSpaceDE/>
              <w:autoSpaceDN/>
              <w:bidi w:val="0"/>
              <w:adjustRightInd w:val="0"/>
              <w:snapToGrid w:val="0"/>
              <w:spacing w:line="0" w:lineRule="atLeast"/>
              <w:jc w:val="both"/>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会议主持人或分会主席</w:t>
            </w:r>
          </w:p>
        </w:tc>
        <w:tc>
          <w:tcPr>
            <w:tcW w:w="922" w:type="pc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M</w:t>
            </w:r>
            <w:r>
              <w:rPr>
                <w:rFonts w:hint="eastAsia" w:ascii="仿宋_GB2312" w:hAnsi="仿宋_GB2312" w:eastAsia="仿宋_GB2312" w:cs="仿宋_GB2312"/>
                <w:bCs/>
                <w:sz w:val="24"/>
                <w:vertAlign w:val="subscript"/>
              </w:rPr>
              <w:t>6-2</w:t>
            </w:r>
          </w:p>
        </w:tc>
        <w:tc>
          <w:tcPr>
            <w:tcW w:w="922" w:type="pc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50分/次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0" w:hRule="atLeast"/>
        </w:trPr>
        <w:tc>
          <w:tcPr>
            <w:tcW w:w="878" w:type="pct"/>
            <w:vMerge w:val="restar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报告</w:t>
            </w:r>
          </w:p>
        </w:tc>
        <w:tc>
          <w:tcPr>
            <w:tcW w:w="2276" w:type="pct"/>
            <w:vAlign w:val="center"/>
          </w:tcPr>
          <w:p>
            <w:pPr>
              <w:keepNext w:val="0"/>
              <w:keepLines w:val="0"/>
              <w:pageBreakBefore w:val="0"/>
              <w:kinsoku/>
              <w:wordWrap/>
              <w:overflowPunct/>
              <w:topLinePunct w:val="0"/>
              <w:autoSpaceDE/>
              <w:autoSpaceDN/>
              <w:bidi w:val="0"/>
              <w:adjustRightInd w:val="0"/>
              <w:snapToGrid w:val="0"/>
              <w:spacing w:line="0" w:lineRule="atLeast"/>
              <w:jc w:val="both"/>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大会特邀报告、主旨报告</w:t>
            </w:r>
          </w:p>
        </w:tc>
        <w:tc>
          <w:tcPr>
            <w:tcW w:w="922" w:type="pc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M</w:t>
            </w:r>
            <w:r>
              <w:rPr>
                <w:rFonts w:hint="eastAsia" w:ascii="仿宋_GB2312" w:hAnsi="仿宋_GB2312" w:eastAsia="仿宋_GB2312" w:cs="仿宋_GB2312"/>
                <w:bCs/>
                <w:sz w:val="24"/>
                <w:vertAlign w:val="subscript"/>
              </w:rPr>
              <w:t>6-3</w:t>
            </w:r>
          </w:p>
        </w:tc>
        <w:tc>
          <w:tcPr>
            <w:tcW w:w="922" w:type="pc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60分/次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97" w:hRule="atLeast"/>
        </w:trPr>
        <w:tc>
          <w:tcPr>
            <w:tcW w:w="87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0" w:lineRule="atLeast"/>
              <w:jc w:val="left"/>
              <w:textAlignment w:val="auto"/>
              <w:rPr>
                <w:rFonts w:hint="eastAsia" w:ascii="仿宋_GB2312" w:hAnsi="仿宋_GB2312" w:eastAsia="仿宋_GB2312" w:cs="仿宋_GB2312"/>
                <w:bCs/>
                <w:sz w:val="24"/>
              </w:rPr>
            </w:pPr>
          </w:p>
        </w:tc>
        <w:tc>
          <w:tcPr>
            <w:tcW w:w="2276" w:type="pct"/>
            <w:vAlign w:val="center"/>
          </w:tcPr>
          <w:p>
            <w:pPr>
              <w:keepNext w:val="0"/>
              <w:keepLines w:val="0"/>
              <w:pageBreakBefore w:val="0"/>
              <w:kinsoku/>
              <w:wordWrap/>
              <w:overflowPunct/>
              <w:topLinePunct w:val="0"/>
              <w:autoSpaceDE/>
              <w:autoSpaceDN/>
              <w:bidi w:val="0"/>
              <w:adjustRightInd w:val="0"/>
              <w:snapToGrid w:val="0"/>
              <w:spacing w:line="0" w:lineRule="atLeast"/>
              <w:jc w:val="both"/>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分会场报告</w:t>
            </w:r>
          </w:p>
        </w:tc>
        <w:tc>
          <w:tcPr>
            <w:tcW w:w="922" w:type="pct"/>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M</w:t>
            </w:r>
            <w:r>
              <w:rPr>
                <w:rFonts w:hint="eastAsia" w:ascii="仿宋_GB2312" w:hAnsi="仿宋_GB2312" w:eastAsia="仿宋_GB2312" w:cs="仿宋_GB2312"/>
                <w:bCs/>
                <w:sz w:val="24"/>
                <w:vertAlign w:val="subscript"/>
              </w:rPr>
              <w:t>6-4</w:t>
            </w:r>
          </w:p>
        </w:tc>
        <w:tc>
          <w:tcPr>
            <w:tcW w:w="922" w:type="pc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30分/次</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
          <w:bCs/>
          <w:szCs w:val="32"/>
        </w:rPr>
      </w:pPr>
      <w:r>
        <w:rPr>
          <w:bCs/>
          <w:szCs w:val="32"/>
        </w:rPr>
        <w:t>（1）仅限于在境外召开的国际重要学术会议中任职和报告。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（2）会议主持人、大会主席、分会主席等任职和大会特邀报告、主旨报告、主题报告、分会场报告等报告均需在会议流程单或会议手册上明确体现，未体现的均不予计分。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（3）会议开闭幕式上的致辞、会议总结以及未列入会议流程单或会议手册的会议自由发言、讨论发言等均不计分。</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bCs/>
          <w:szCs w:val="32"/>
        </w:rPr>
      </w:pPr>
      <w:r>
        <w:rPr>
          <w:bCs/>
          <w:szCs w:val="32"/>
        </w:rPr>
        <w:t>（4）会议不设分会场的，按分会场计分。</w:t>
      </w:r>
    </w:p>
    <w:sectPr>
      <w:footerReference r:id="rId5" w:type="default"/>
      <w:pgSz w:w="11906" w:h="16838"/>
      <w:pgMar w:top="2098" w:right="1474" w:bottom="1984" w:left="1587" w:header="851" w:footer="124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F6650"/>
    <w:rsid w:val="14847975"/>
    <w:rsid w:val="32D96446"/>
    <w:rsid w:val="4352556B"/>
    <w:rsid w:val="43A332ED"/>
    <w:rsid w:val="58DB0D72"/>
    <w:rsid w:val="64161F84"/>
    <w:rsid w:val="68611BAF"/>
    <w:rsid w:val="69585476"/>
    <w:rsid w:val="6CBD7318"/>
    <w:rsid w:val="72625222"/>
    <w:rsid w:val="747D3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2021-03-31T06:42:00Z</dcterms:created>
  <dc:creator>rcb</dc:creator>
  <cp:lastModifiedBy>Alvin</cp:lastModifiedBy>
  <dcterms:modified xsi:type="dcterms:W3CDTF">2022-03-09T03:23:05Z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285F16E94F3D431B967FE99408FB07C0</vt:lpwstr>
  </property>
</Properties>
</file>